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w:t>
      </w:r>
    </w:p>
    <w:p>
      <w:pPr>
        <w:jc w:val="left"/>
      </w:pPr>
      <w:r>
        <w:t>Hochschulrecht: Universität Campus Rheinbogen streitet über eine W3-Berufung, Senatsbeschluss, Drittmittelvertrag, Befangenheit, Grundordnungsänderung und Wissenschaftsfreiheit.</w:t>
      </w:r>
    </w:p>
    <w:p>
      <w:pPr>
        <w:jc w:val="left"/>
      </w:pPr>
      <w:r>
        <w:t>Die Unterlagen kommen aus verschiedenen Quellen und sind nicht widerspruchsfrei. Zuerst sind Bundesland, zuständige Stelle, konkrete Ordnung, Frist und Aktenstück zu klären. Keine Aussage wird ohne Normenkette oder Beleg hart formuliert.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