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Zeitstrahl, Fristen und Verfahrensstand</w:t>
      </w:r>
    </w:p>
    <w:p>
      <w:pPr>
        <w:pStyle w:val="Heading2"/>
      </w:pPr>
      <w:r>
        <w:rPr>
          <w:rFonts w:ascii="Times New Roman" w:hAnsi="Times New Roman"/>
        </w:rPr>
        <w:t>Chronologie des Berufungsverfahrens W3 Maschinenelement-Konstruktion am Campus Rheinbogen</w:t>
      </w:r>
    </w:p>
    <w:p>
      <w:pPr>
        <w:pStyle w:val="Heading3"/>
      </w:pPr>
      <w:r>
        <w:rPr>
          <w:rFonts w:ascii="Times New Roman" w:hAnsi="Times New Roman"/>
        </w:rPr>
        <w:t>2025 — Vorfeld</w:t>
      </w:r>
    </w:p>
    <w:p>
      <w:pPr>
        <w:pStyle w:val="ListBullet"/>
      </w:pPr>
      <w:r>
        <w:rPr>
          <w:b/>
        </w:rPr>
        <w:t>Sommersemester 2025</w:t>
      </w:r>
      <w:r>
        <w:t>: Stellenausschreibung W3 Maschinenelement-Konstruktion, Veröffentlichung im Bundesanzeiger und Stellenticker des Wissenschaftsrats. Bewerbungsfrist 30.09.2025. Sechs Bewerbungen, davon vier mit Industrie-Bezug.</w:t>
      </w:r>
    </w:p>
    <w:p>
      <w:pPr>
        <w:pStyle w:val="ListBullet"/>
      </w:pPr>
      <w:r>
        <w:rPr>
          <w:b/>
        </w:rPr>
        <w:t>15.10.2025</w:t>
      </w:r>
      <w:r>
        <w:t>: Konstituierung der Berufungskommission unter Vorsitz Prof. Dr.-Ing. Hellbach. Mitglieder: zwei weitere ProfessorInnen, eine wissenschaftliche Mitarbeiterin, ein Studentenr, eine externe Professorin.</w:t>
      </w:r>
    </w:p>
    <w:p>
      <w:pPr>
        <w:pStyle w:val="ListBullet"/>
      </w:pPr>
      <w:r>
        <w:rPr>
          <w:b/>
        </w:rPr>
        <w:t>November/Dezember 2025</w:t>
      </w:r>
      <w:r>
        <w:t>: Eingang externer Gutachten (drei externe Gutachter, je zwei Stellungnahmen pro Spitzenkandidat).</w:t>
      </w:r>
    </w:p>
    <w:p>
      <w:pPr>
        <w:pStyle w:val="ListBullet"/>
      </w:pPr>
      <w:r>
        <w:rPr>
          <w:b/>
        </w:rPr>
        <w:t>20.01.2026</w:t>
      </w:r>
      <w:r>
        <w:t>: Probevorträge der vier Bewerbungen mit höchster Vorbewertung; Listenvorbereitung beginnt.</w:t>
      </w:r>
    </w:p>
    <w:p>
      <w:pPr>
        <w:pStyle w:val="Heading3"/>
      </w:pPr>
      <w:r>
        <w:rPr>
          <w:rFonts w:ascii="Times New Roman" w:hAnsi="Times New Roman"/>
        </w:rPr>
        <w:t>2026 — Entscheidungsphase</w:t>
      </w:r>
    </w:p>
    <w:p>
      <w:pPr>
        <w:pStyle w:val="ListBullet"/>
      </w:pPr>
      <w:r>
        <w:rPr>
          <w:b/>
        </w:rPr>
        <w:t>11.04.2026</w:t>
      </w:r>
      <w:r>
        <w:t xml:space="preserve">: Sitzung der Berufungskommission. </w:t>
      </w:r>
      <w:r>
        <w:rPr>
          <w:b/>
        </w:rPr>
        <w:t>Erste interne Entscheidung</w:t>
      </w:r>
      <w:r>
        <w:t xml:space="preserve"> für die Reihung Listenplatz 1 (Prof. Dr.-Ing. Jakob Reisinger, Bewerbungsschwerpunkt Industriekooperation), Listenplatz 2 (unsere Mandantin Prof. Dr. Eveline Bornhorst), Listenplatz 3 (Frau Dr. Tjard Köhler). Protokoll unvollständig (siehe Akteneinsichts-Anforderung).</w:t>
      </w:r>
    </w:p>
    <w:p>
      <w:pPr>
        <w:pStyle w:val="ListBullet"/>
      </w:pPr>
      <w:r>
        <w:rPr>
          <w:b/>
        </w:rPr>
        <w:t>24.04.2026</w:t>
      </w:r>
      <w:r>
        <w:t xml:space="preserve">: </w:t>
      </w:r>
      <w:r>
        <w:rPr>
          <w:b/>
        </w:rPr>
        <w:t>E-Mail mit unklarer Rechtsqualität</w:t>
      </w:r>
      <w:r>
        <w:t xml:space="preserve"> vom Rektorat an die Berufungskommission und an unsere Mandantin: "die Senatsentscheidung wird zeitnah umgesetzt". Keine Rechtsbehelfsbelehrung. Unsere Einordnung: Wissenserklärung, kein Verwaltungsakt — Anfechtung daher nicht selbstständig möglich.</w:t>
      </w:r>
    </w:p>
    <w:p>
      <w:pPr>
        <w:pStyle w:val="ListBullet"/>
      </w:pPr>
      <w:r>
        <w:rPr>
          <w:b/>
        </w:rPr>
        <w:t>24.04.2026</w:t>
      </w:r>
      <w:r>
        <w:t>: Senatsbeschluss zur Bestätigung der Berufungsliste. Anwesend nach Protokoll 18 von 22 Mitgliedern, Beschlussfähigkeit unstrittig; aber: Beteiligung des Personalrats nicht protokolliert (LPVG NRW Frage).</w:t>
      </w:r>
    </w:p>
    <w:p>
      <w:pPr>
        <w:pStyle w:val="ListBullet"/>
      </w:pPr>
      <w:r>
        <w:rPr>
          <w:b/>
        </w:rPr>
        <w:t>05.05.2026</w:t>
      </w:r>
      <w:r>
        <w:t xml:space="preserve">: </w:t>
      </w:r>
      <w:r>
        <w:rPr>
          <w:b/>
        </w:rPr>
        <w:t>Bescheid des Rektorats wird übersandt</w:t>
      </w:r>
      <w:r>
        <w:t>: Bestellungsbescheid an Prof. Dr.-Ing. Reisinger (Listenplatz 1). Parallel Mitteilung an Listenplatz 2 (Mandantin) und Listenplatz 3 — als Konkurrentenmitteilung.</w:t>
      </w:r>
    </w:p>
    <w:p>
      <w:pPr>
        <w:pStyle w:val="ListBullet"/>
      </w:pPr>
      <w:r>
        <w:rPr>
          <w:b/>
        </w:rPr>
        <w:t>12.05.2026</w:t>
      </w:r>
      <w:r>
        <w:t>: Mandantin erhält den Bescheid per Einwurf-Einschreiben am Wohnsitz Bonn. Eingangsstempel der Kanzlei: 14.05.2026 (Übergabe durch Mandantin).</w:t>
      </w:r>
    </w:p>
    <w:p>
      <w:pPr>
        <w:pStyle w:val="ListBullet"/>
      </w:pPr>
      <w:r>
        <w:rPr>
          <w:b/>
        </w:rPr>
        <w:t>18.05.2026</w:t>
      </w:r>
      <w:r>
        <w:t xml:space="preserve">: </w:t>
      </w:r>
      <w:r>
        <w:rPr>
          <w:b/>
        </w:rPr>
        <w:t>Akteneinsichtsantrag der Mandantin</w:t>
      </w:r>
      <w:r>
        <w:t xml:space="preserve"> gestellt; Eingangsbestätigung Rektorat 21.05.2026.</w:t>
      </w:r>
    </w:p>
    <w:p>
      <w:pPr>
        <w:pStyle w:val="ListBullet"/>
      </w:pPr>
      <w:r>
        <w:rPr>
          <w:b/>
        </w:rPr>
        <w:t>27.05.2026</w:t>
      </w:r>
      <w:r>
        <w:t xml:space="preserve">: </w:t>
      </w:r>
      <w:r>
        <w:rPr>
          <w:b/>
        </w:rPr>
        <w:t>Fristdruck</w:t>
      </w:r>
      <w:r>
        <w:t xml:space="preserve"> beginnt, weil die Mandantin ihre derzeitige Beamtenposition zum 01.08.2026 verlieren würde, sollte die Berufungsentscheidung nicht zu ihren Gunsten ausfallen (Ablauf der befristeten W2-Position). Akademische Lebensplanung unmittelbar betroffen.</w:t>
      </w:r>
    </w:p>
    <w:p>
      <w:pPr>
        <w:pStyle w:val="Heading3"/>
      </w:pPr>
      <w:r>
        <w:rPr>
          <w:rFonts w:ascii="Times New Roman" w:hAnsi="Times New Roman"/>
        </w:rPr>
        <w:t>Fristen-Übersicht (anwaltlich)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Widerspruchsfrist (§ 70 VwGO)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Monat nach Bekanntgabe Bestellungsbescheid; in NRW ggf. direkter Klageweg — live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Klagefrist (§ 74 VwGO)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direktem Klageweg ohne Widerspruchsverfahren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 nach § 123 VwGO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 Bestellung des Konkurrenten zu verhindern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Antritt der Konkurrenz-Stelle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voraussichtlich 01.08.2026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wenn nicht durch Eilrechtsschutz aufgeschoben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mündliche Zusage durch Rektorat innerhalb 14 Tagen; bei Verzögerung Untätigkeitsklage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Beweissicherung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rolling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Originaltermin Berufungskommission, alle externen Gutachten, E-Mail-Verkehr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Verfahrensstand Mai 2026</w:t>
      </w:r>
    </w:p>
    <w:p>
      <w:pPr>
        <w:pStyle w:val="ListBullet"/>
      </w:pPr>
      <w:r>
        <w:rPr>
          <w:b/>
        </w:rPr>
        <w:t>Mandantin</w:t>
      </w:r>
      <w:r>
        <w:t>: hat Anwaltskanzlei beauftragt; bereits Akteneinsichtsantrag gestellt; will entweder Bestellung erstreiten oder substantiierten Schadensersatz wegen Verfahrensfehlern.</w:t>
      </w:r>
    </w:p>
    <w:p>
      <w:pPr>
        <w:pStyle w:val="ListBullet"/>
      </w:pPr>
      <w:r>
        <w:rPr>
          <w:b/>
        </w:rPr>
        <w:t>Rektorat</w:t>
      </w:r>
      <w:r>
        <w:t>: hat Bestellungsbescheid erlassen; Bestellung von Prof. Reisinger zum 01.08.2026 vorgesehen.</w:t>
      </w:r>
    </w:p>
    <w:p>
      <w:pPr>
        <w:pStyle w:val="ListBullet"/>
      </w:pPr>
      <w:r>
        <w:rPr>
          <w:b/>
        </w:rPr>
        <w:t>Konkurrent (Reisinger)</w:t>
      </w:r>
      <w:r>
        <w:t>: würde mit seiner aktuellen Industrie-Position auslaufen; hat Interesse am Antritt.</w:t>
      </w:r>
    </w:p>
    <w:p>
      <w:pPr>
        <w:pStyle w:val="ListBullet"/>
      </w:pPr>
      <w:r>
        <w:rPr>
          <w:b/>
        </w:rPr>
        <w:t>Drittmittelgeber</w:t>
      </w:r>
      <w:r>
        <w:t xml:space="preserve"> (Industrieunternehmen mit Geheimnisvereinbarung): nicht direkt am Verfahren beteiligt, aber potenziell Auslöser einer sachfremden Einflussnahme.</w:t>
      </w:r>
    </w:p>
    <w:p>
      <w:pPr>
        <w:pStyle w:val="ListBullet"/>
      </w:pPr>
      <w:r>
        <w:rPr>
          <w:b/>
        </w:rPr>
        <w:t>Personalrat</w:t>
      </w:r>
      <w:r>
        <w:t>: Beteiligung formell unklar.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>Akteneinsicht durchsetzen — Frist setzen, ggf. Untätigkeitsklage nach § 75 VwGO androhen.</w:t>
      </w:r>
    </w:p>
    <w:p>
      <w:pPr>
        <w:pStyle w:val="ListNumber"/>
      </w:pPr>
      <w:r>
        <w:t>Eilantrag § 123 VwGO vorbereiten, eingerichtet auf Verzögerung der Bestellung Reisinger bis Klärung Hauptsache.</w:t>
      </w:r>
    </w:p>
    <w:p>
      <w:pPr>
        <w:pStyle w:val="ListNumber"/>
      </w:pPr>
      <w:r>
        <w:t>Klage gegen Bestellungsbescheid vorbereiten (Frist 12.06.2026).</w:t>
      </w:r>
    </w:p>
    <w:p>
      <w:pPr>
        <w:pStyle w:val="ListNumber"/>
      </w:pPr>
      <w:r>
        <w:t>Personalrat als externen Zeugen vorbereiten.</w:t>
      </w:r>
    </w:p>
    <w:p>
      <w:pPr>
        <w:pStyle w:val="ListNumber"/>
      </w:pPr>
      <w:r>
        <w:t>Externes Hochschulpersonalrechts-Gutachten zur Drittmittel-Einflussnahme einholen.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