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Normenkette — Live-Check</w:t>
      </w:r>
    </w:p>
    <w:p>
      <w:pPr>
        <w:pStyle w:val="Heading2"/>
      </w:pPr>
      <w:r>
        <w:rPr>
          <w:rFonts w:ascii="Times New Roman" w:hAnsi="Times New Roman"/>
        </w:rPr>
        <w:t>Vorgehen</w:t>
      </w:r>
    </w:p>
    <w:p>
      <w:pPr>
        <w:jc w:val="left"/>
      </w:pPr>
      <w:r>
        <w:t>Bei hochschulrechtlichen Mandaten ist die Normenkette stufenweise zu prüfen, weil jede Stufe ihre eigene Änderungsdynamik hat. Wir arbeiten von der höchsten zur konkretesten Norm:</w:t>
      </w:r>
    </w:p>
    <w:p>
      <w:pPr>
        <w:pStyle w:val="Heading3"/>
      </w:pPr>
      <w:r>
        <w:rPr>
          <w:rFonts w:ascii="Times New Roman" w:hAnsi="Times New Roman"/>
        </w:rPr>
        <w:t>Stufe 1: Bundesland und aktuelles Hochschulgesetz</w:t>
      </w:r>
    </w:p>
    <w:p>
      <w:pPr>
        <w:jc w:val="left"/>
      </w:pPr>
      <w:r>
        <w:t xml:space="preserve">Für den Fall Campus Rheinbogen ist das </w:t>
      </w:r>
      <w:r>
        <w:rPr>
          <w:b/>
        </w:rPr>
        <w:t>Hochschulgesetz Nordrhein-Westfalen (HG NRW)</w:t>
      </w:r>
      <w:r>
        <w:t xml:space="preserve"> in der jeweils gültigen Fassung einschlägig. Live-Check gegen </w:t>
      </w:r>
      <w:r>
        <w:t>recht.nrw.de</w:t>
      </w:r>
      <w:r>
        <w:t>, mit Datum des Standes. Insbesondere zu prüfen:</w:t>
      </w:r>
    </w:p>
    <w:p>
      <w:pPr>
        <w:pStyle w:val="ListBullet"/>
      </w:pPr>
      <w:r>
        <w:t>§§ 36-41 HG NRW zu Berufungsverfahren und Bestellung von Hochschullehrern.</w:t>
      </w:r>
    </w:p>
    <w:p>
      <w:pPr>
        <w:pStyle w:val="ListBullet"/>
      </w:pPr>
      <w:r>
        <w:t>§ 71 HG NRW zur Drittmittelforschung und Genehmigungsvorbehalte.</w:t>
      </w:r>
    </w:p>
    <w:p>
      <w:pPr>
        <w:pStyle w:val="ListBullet"/>
      </w:pPr>
      <w:r>
        <w:t>§§ 22 ff. HG NRW zu Senatszuständigkeiten und Verfahrensregeln.</w:t>
      </w:r>
    </w:p>
    <w:p>
      <w:pPr>
        <w:jc w:val="left"/>
      </w:pPr>
      <w:r>
        <w:t>Achtung: Das HG NRW wurde 2024 in mehreren Punkten zur Drittmittelpraxis novelliert (insbesondere bei Industrieforschung mit Geheimhaltungsklauseln). Stand des Berufungsverfahrens prüfen: gilt das alte oder das neue Recht (Übergangsregelung)?</w:t>
      </w:r>
    </w:p>
    <w:p>
      <w:pPr>
        <w:pStyle w:val="Heading3"/>
      </w:pPr>
      <w:r>
        <w:rPr>
          <w:rFonts w:ascii="Times New Roman" w:hAnsi="Times New Roman"/>
        </w:rPr>
        <w:t>Stufe 2: Verordnungen und untergesetzliche Ordnungen</w:t>
      </w:r>
    </w:p>
    <w:p>
      <w:pPr>
        <w:pStyle w:val="ListBullet"/>
      </w:pPr>
      <w:r>
        <w:rPr>
          <w:b/>
        </w:rPr>
        <w:t>Lehrverpflichtungsverordnung NRW (LVV NRW)</w:t>
      </w:r>
      <w:r>
        <w:t xml:space="preserve"> für die Frage der Berücksichtigung der Industriebewerbung mit Teilzeitprofessur.</w:t>
      </w:r>
    </w:p>
    <w:p>
      <w:pPr>
        <w:pStyle w:val="ListBullet"/>
      </w:pPr>
      <w:r>
        <w:rPr>
          <w:b/>
        </w:rPr>
        <w:t>Hochschulzulassungsverordnung NRW</w:t>
      </w:r>
      <w:r>
        <w:t xml:space="preserve"> für nachgelagerte Fragen (nicht primär einschlägig).</w:t>
      </w:r>
    </w:p>
    <w:p>
      <w:pPr>
        <w:pStyle w:val="ListBullet"/>
      </w:pPr>
      <w:r>
        <w:rPr>
          <w:b/>
        </w:rPr>
        <w:t>Personalvertretungsgesetz NRW (LPVG NRW)</w:t>
      </w:r>
      <w:r>
        <w:t xml:space="preserve"> für die Beteiligung des Personalrats am Berufungsverfahren.</w:t>
      </w:r>
    </w:p>
    <w:p>
      <w:pPr>
        <w:pStyle w:val="ListBullet"/>
      </w:pPr>
      <w:r>
        <w:rPr>
          <w:b/>
        </w:rPr>
        <w:t>DFG-Verwendungsrichtlinien</w:t>
      </w:r>
      <w:r>
        <w:t xml:space="preserve"> für Drittmittel-Annahme — insbesondere zur Verwendung externer Sachbezüge.</w:t>
      </w:r>
    </w:p>
    <w:p>
      <w:pPr>
        <w:pStyle w:val="Heading3"/>
      </w:pPr>
      <w:r>
        <w:rPr>
          <w:rFonts w:ascii="Times New Roman" w:hAnsi="Times New Roman"/>
        </w:rPr>
        <w:t>Stufe 3: Hochschulsatzung und Berufungsordnung</w:t>
      </w:r>
    </w:p>
    <w:p>
      <w:pPr>
        <w:pStyle w:val="ListBullet"/>
      </w:pPr>
      <w:r>
        <w:rPr>
          <w:b/>
        </w:rPr>
        <w:t>Berufungsordnung Campus Rheinbogen</w:t>
      </w:r>
      <w:r>
        <w:t xml:space="preserve"> (Fassung seit 2023): Verfahrensvorschriften zur Berufungskommission, Liste, Senatsanhörung, Vertraulichkeit.</w:t>
      </w:r>
    </w:p>
    <w:p>
      <w:pPr>
        <w:pStyle w:val="ListBullet"/>
      </w:pPr>
      <w:r>
        <w:rPr>
          <w:b/>
        </w:rPr>
        <w:t>Grundordnung Campus Rheinbogen</w:t>
      </w:r>
      <w:r>
        <w:t xml:space="preserve"> zur Senatszusammensetzung und zu Quoren.</w:t>
      </w:r>
    </w:p>
    <w:p>
      <w:pPr>
        <w:pStyle w:val="ListBullet"/>
      </w:pPr>
      <w:r>
        <w:rPr>
          <w:b/>
        </w:rPr>
        <w:t>Drittmittelordnung Campus Rheinbogen</w:t>
      </w:r>
      <w:r>
        <w:t xml:space="preserve"> insbesondere zu Industriedrittmittel mit Geheimhaltung — derzeit Stand 2022, soll 2026 novelliert werden. Welche Fassung gilt für die laufende Berufung?</w:t>
      </w:r>
    </w:p>
    <w:p>
      <w:pPr>
        <w:pStyle w:val="ListBullet"/>
      </w:pPr>
      <w:r>
        <w:rPr>
          <w:b/>
        </w:rPr>
        <w:t>Senatsgeschäftsordnung</w:t>
      </w:r>
      <w:r>
        <w:t xml:space="preserve"> für Verfahrensregelungen, insbesondere Beschlussfähigkeit, Stimmrecht der Studentenn.</w:t>
      </w:r>
    </w:p>
    <w:p>
      <w:pPr>
        <w:pStyle w:val="Heading3"/>
      </w:pPr>
      <w:r>
        <w:rPr>
          <w:rFonts w:ascii="Times New Roman" w:hAnsi="Times New Roman"/>
        </w:rPr>
        <w:t>Stufe 4: Konkreter Bescheid, Beschluss oder Verwaltungsakt</w:t>
      </w:r>
    </w:p>
    <w:p>
      <w:pPr>
        <w:pStyle w:val="ListBullet"/>
      </w:pPr>
      <w:r>
        <w:t xml:space="preserve">Beschluss der </w:t>
      </w:r>
      <w:r>
        <w:rPr>
          <w:b/>
        </w:rPr>
        <w:t>Berufungskommission</w:t>
      </w:r>
      <w:r>
        <w:t xml:space="preserve"> vom 11.04.2026 (Reihung der Berufungsliste).</w:t>
      </w:r>
    </w:p>
    <w:p>
      <w:pPr>
        <w:pStyle w:val="ListBullet"/>
      </w:pPr>
      <w:r>
        <w:t xml:space="preserve">Beschluss des </w:t>
      </w:r>
      <w:r>
        <w:rPr>
          <w:b/>
        </w:rPr>
        <w:t>Senats</w:t>
      </w:r>
      <w:r>
        <w:t xml:space="preserve"> vom 24.04.2026 (Anhörungsergebnis, ggf. Modifikation der Liste).</w:t>
      </w:r>
    </w:p>
    <w:p>
      <w:pPr>
        <w:pStyle w:val="ListBullet"/>
      </w:pPr>
      <w:r>
        <w:rPr>
          <w:b/>
        </w:rPr>
        <w:t>E-Mail</w:t>
      </w:r>
      <w:r>
        <w:t xml:space="preserve"> des Rektorats vom 24.04.2026 (Rechtsqualität streitig — Verwaltungsakt oder bloße Wissenserklärung?).</w:t>
      </w:r>
    </w:p>
    <w:p>
      <w:pPr>
        <w:pStyle w:val="ListBullet"/>
      </w:pPr>
      <w:r>
        <w:rPr>
          <w:b/>
        </w:rPr>
        <w:t>Bescheid des Rektorats</w:t>
      </w:r>
      <w:r>
        <w:t xml:space="preserve"> vom 05.05.2026 zur Bestellung (Verwaltungsakt iSv § 35 VwVfG NRW, mit Rechtsbehelfsbelehrung).</w:t>
      </w:r>
    </w:p>
    <w:p>
      <w:pPr>
        <w:pStyle w:val="Heading3"/>
      </w:pPr>
      <w:r>
        <w:rPr>
          <w:rFonts w:ascii="Times New Roman" w:hAnsi="Times New Roman"/>
        </w:rPr>
        <w:t>Stufe 5: Rechtsbehelf und Frist</w:t>
      </w:r>
    </w:p>
    <w:p>
      <w:pPr>
        <w:pStyle w:val="ListBullet"/>
      </w:pPr>
      <w:r>
        <w:t xml:space="preserve">Bei Bescheid vom 05.05.2026: </w:t>
      </w:r>
      <w:r>
        <w:rPr>
          <w:b/>
        </w:rPr>
        <w:t>Widerspruch</w:t>
      </w:r>
      <w:r>
        <w:t xml:space="preserve"> binnen eines Monats nach Bekanntgabe (§ 70 VwGO iVm § 110 JustG NRW).</w:t>
      </w:r>
    </w:p>
    <w:p>
      <w:pPr>
        <w:pStyle w:val="ListBullet"/>
      </w:pPr>
      <w:r>
        <w:rPr>
          <w:b/>
        </w:rPr>
        <w:t>Klage</w:t>
      </w:r>
      <w:r>
        <w:t xml:space="preserve"> vor dem Verwaltungsgericht Köln/Aachen (örtliche Zuständigkeit nach § 52 VwGO).</w:t>
      </w:r>
    </w:p>
    <w:p>
      <w:pPr>
        <w:pStyle w:val="ListBullet"/>
      </w:pPr>
      <w:r>
        <w:rPr>
          <w:b/>
        </w:rPr>
        <w:t>Eilrechtsschutz</w:t>
      </w:r>
      <w:r>
        <w:t xml:space="preserve"> nach § 80 Abs. 5 VwGO (aufschiebende Wirkung) oder § 123 VwGO (einstweilige Anordnung), je nach Klagebegehren.</w:t>
      </w:r>
    </w:p>
    <w:p>
      <w:pPr>
        <w:pStyle w:val="ListBullet"/>
      </w:pPr>
      <w:r>
        <w:rPr>
          <w:b/>
        </w:rPr>
        <w:t>Konkurrentenklage</w:t>
      </w:r>
      <w:r>
        <w:t>: maßgebliche BVerwG-Rechtsprechung zu Berufungen — Az im Mandat live verifizieren, insbesondere zur Vorgabe einer Wartezeit vor Bestellung.</w:t>
      </w:r>
    </w:p>
    <w:p>
      <w:pPr>
        <w:pStyle w:val="Heading2"/>
      </w:pPr>
      <w:r>
        <w:rPr>
          <w:rFonts w:ascii="Times New Roman" w:hAnsi="Times New Roman"/>
        </w:rPr>
        <w:t>Praxis-Hinweise</w:t>
      </w:r>
    </w:p>
    <w:p>
      <w:pPr>
        <w:pStyle w:val="ListBullet"/>
      </w:pPr>
      <w:r>
        <w:rPr>
          <w:b/>
        </w:rPr>
        <w:t>Berufungssperre</w:t>
      </w:r>
      <w:r>
        <w:t>: Vor Bestellung muss eine Konkurrentenmitteilung erfolgen mit Möglichkeit zum Eilrechtsschutz (BVerfGE 39, 334 und nachfolgende BVerwG-Rechtsprechung). Wenn diese Mitteilung unterblieb, wäre die Bestellung anfechtbar.</w:t>
      </w:r>
    </w:p>
    <w:p>
      <w:pPr>
        <w:pStyle w:val="ListBullet"/>
      </w:pPr>
      <w:r>
        <w:rPr>
          <w:b/>
        </w:rPr>
        <w:t>Drittmittelannahme</w:t>
      </w:r>
      <w:r>
        <w:t>: § 71 HG NRW iVm Drittmittelordnung — bei Industriegelder mit Geheimhaltungsklausel ist Senatsbefassung erforderlich. Wurde sie vollzogen?</w:t>
      </w:r>
    </w:p>
    <w:p>
      <w:pPr>
        <w:pStyle w:val="ListBullet"/>
      </w:pPr>
      <w:r>
        <w:rPr>
          <w:b/>
        </w:rPr>
        <w:t>Mitbestimmung</w:t>
      </w:r>
      <w:r>
        <w:t>: Personalrat ist nach LPVG NRW bei Stellenausschreibungen und Bestellungen zu beteiligen. Beleg fehlt — anfordern.</w:t>
      </w:r>
    </w:p>
    <w:p>
      <w:pPr>
        <w:pStyle w:val="Heading2"/>
      </w:pPr>
      <w:r>
        <w:rPr>
          <w:rFonts w:ascii="Times New Roman" w:hAnsi="Times New Roman"/>
        </w:rPr>
        <w:t>Live-Quellen-Karte</w:t>
      </w:r>
    </w:p>
    <w:p>
      <w:pPr>
        <w:pStyle w:val="ListBullet"/>
      </w:pPr>
      <w:r>
        <w:t>recht.nrw.de</w:t>
      </w:r>
      <w:r>
        <w:t xml:space="preserve"> — HG NRW, LVV NRW, LPVG NRW.</w:t>
      </w:r>
    </w:p>
    <w:p>
      <w:pPr>
        <w:pStyle w:val="ListBullet"/>
      </w:pPr>
      <w:r>
        <w:t>bverfg.de</w:t>
      </w:r>
      <w:r>
        <w:t xml:space="preserve"> und </w:t>
      </w:r>
      <w:r>
        <w:t>bverwg.de</w:t>
      </w:r>
      <w:r>
        <w:t xml:space="preserve"> — aktuelle Konkurrentenrechtsprechung.</w:t>
      </w:r>
    </w:p>
    <w:p>
      <w:pPr>
        <w:pStyle w:val="ListBullet"/>
      </w:pPr>
      <w:r>
        <w:t>dfg.de</w:t>
      </w:r>
      <w:r>
        <w:t xml:space="preserve"> — Verwendungsrichtlinien.</w:t>
      </w:r>
    </w:p>
    <w:p>
      <w:pPr>
        <w:pStyle w:val="ListBullet"/>
      </w:pPr>
      <w:r>
        <w:t>Lokale Hochschulwebsite Campus Rheinbogen → Bereich "Satzungen und Ordnungen" (Berufungsordnung, Drittmittelordnung, Grundordnung).</w:t>
      </w:r>
    </w:p>
    <w:p>
      <w:pPr>
        <w:pStyle w:val="ListBullet"/>
      </w:pPr>
      <w:r>
        <w:t>BMBF und Wissenschaftsrat — Stellungnahmen zur Drittmittelpraxis.</w:t>
      </w:r>
    </w:p>
    <w:p>
      <w:pPr>
        <w:pStyle w:val="Heading2"/>
      </w:pPr>
      <w:r>
        <w:rPr>
          <w:rFonts w:ascii="Times New Roman" w:hAnsi="Times New Roman"/>
        </w:rPr>
        <w:t>Quellenhygiene</w:t>
      </w:r>
    </w:p>
    <w:p>
      <w:pPr>
        <w:jc w:val="left"/>
      </w:pPr>
      <w:r>
        <w:t>Wie immer: keine Az aus Modellwissen ausgeben, alle Entscheidungen mit Gericht, Datum, Aktenzeichen und frei prüfbarer Quelle absichern. Wenn die Originalentscheidung nicht erreichbar ist, ausdrücklich als "Hinweis ohne abschließenden Beleg" kennzeichnen.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