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Offene Punkte — Berufungsverfahren Campus Rheinbogen</w:t>
      </w:r>
    </w:p>
    <w:p>
      <w:pPr>
        <w:pStyle w:val="Heading2"/>
      </w:pPr>
      <w:r>
        <w:rPr>
          <w:rFonts w:ascii="Times New Roman" w:hAnsi="Times New Roman"/>
        </w:rPr>
        <w:t>Status</w:t>
      </w:r>
    </w:p>
    <w:p>
      <w:pPr>
        <w:jc w:val="left"/>
      </w:pPr>
      <w:r>
        <w:t>Stand: 02.06.2026, vor der nächsten Senatssitzung. Verantwortlich: Mandantin Prof. Dr. Eveline Bornhorst (Listenplatz 2 der Berufung W3 Maschinenelement-Konstruktion). Beratung: Dr. Stefan Mendelsohn, Hochschulrecht.</w:t>
      </w:r>
    </w:p>
    <w:p>
      <w:pPr>
        <w:pStyle w:val="Heading2"/>
      </w:pPr>
      <w:r>
        <w:rPr>
          <w:rFonts w:ascii="Times New Roman" w:hAnsi="Times New Roman"/>
        </w:rPr>
        <w:t>Offene Punkte</w:t>
      </w:r>
    </w:p>
    <w:p>
      <w:pPr>
        <w:pStyle w:val="Heading3"/>
      </w:pPr>
      <w:r>
        <w:rPr>
          <w:rFonts w:ascii="Times New Roman" w:hAnsi="Times New Roman"/>
        </w:rPr>
        <w:t>1. Aktuelle Landesnorm und Ordnungsversion</w:t>
      </w:r>
    </w:p>
    <w:p>
      <w:pPr>
        <w:pStyle w:val="ListBullet"/>
      </w:pPr>
      <w:r>
        <w:rPr>
          <w:b/>
        </w:rPr>
        <w:t>HG NRW</w:t>
      </w:r>
      <w:r>
        <w:t>: Welche Fassung gilt für das laufende Verfahren — Stand 03/2024 oder die Novelle 11/2024? Übergangsregelung in Art. 2 des Änderungsgesetzes prüfen. Maßgeblich für die Frage der Industriedrittmittel-Akzeptanz und ggf. der Senatsbefassung.</w:t>
      </w:r>
    </w:p>
    <w:p>
      <w:pPr>
        <w:pStyle w:val="ListBullet"/>
      </w:pPr>
      <w:r>
        <w:rPr>
          <w:b/>
        </w:rPr>
        <w:t>Berufungsordnung Campus Rheinbogen</w:t>
      </w:r>
      <w:r>
        <w:t>: Welche Fassung der Berufungsordnung wurde der Berufungskommission als Grundlage gegeben? Bei der Sitzung vom 11.04.2026 lag laut Protokoll eine Fassung vom 03.07.2023 zugrunde. Wir wissen aber, dass am 14.11.2024 eine Änderung beschlossen wurde. Wurde diese im April 2026 angewendet?</w:t>
      </w:r>
    </w:p>
    <w:p>
      <w:pPr>
        <w:pStyle w:val="ListBullet"/>
      </w:pPr>
      <w:r>
        <w:rPr>
          <w:b/>
        </w:rPr>
        <w:t>Drittmittelordnung</w:t>
      </w:r>
      <w:r>
        <w:t>: Stand 2022. Anwendbarkeit der Übergangsregeln auf die im Verfahren behauptete Berufung mit Industrie-Drittmittelvereinbarung?</w:t>
      </w:r>
    </w:p>
    <w:p>
      <w:pPr>
        <w:pStyle w:val="Heading3"/>
      </w:pPr>
      <w:r>
        <w:rPr>
          <w:rFonts w:ascii="Times New Roman" w:hAnsi="Times New Roman"/>
        </w:rPr>
        <w:t>2. Rechtsqualität der Schreiben und Beschlüsse</w:t>
      </w:r>
    </w:p>
    <w:p>
      <w:pPr>
        <w:pStyle w:val="ListBullet"/>
      </w:pPr>
      <w:r>
        <w:rPr>
          <w:b/>
        </w:rPr>
        <w:t>Beschluss der Berufungskommission</w:t>
      </w:r>
      <w:r>
        <w:t xml:space="preserve"> vom 11.04.2026: vorbereitender Hochschulorganakt, keine Außenwirkung. Anfechtung nur als Vorbereitungshandlung gemeinsam mit dem Bestellungsbescheid (BVerwG-Linie zur Listenanfechtung).</w:t>
      </w:r>
    </w:p>
    <w:p>
      <w:pPr>
        <w:pStyle w:val="ListBullet"/>
      </w:pPr>
      <w:r>
        <w:rPr>
          <w:b/>
        </w:rPr>
        <w:t>Beschluss des Senats</w:t>
      </w:r>
      <w:r>
        <w:t xml:space="preserve"> vom 24.04.2026: ebenfalls innerorganisationsrechtlich, aber für die spätere Bestellung bindend.</w:t>
      </w:r>
    </w:p>
    <w:p>
      <w:pPr>
        <w:pStyle w:val="ListBullet"/>
      </w:pPr>
      <w:r>
        <w:rPr>
          <w:b/>
        </w:rPr>
        <w:t>E-Mail des Rektorats</w:t>
      </w:r>
      <w:r>
        <w:t xml:space="preserve"> vom 24.04.2026: Ist das ein Bescheid iSv § 35 VwVfG NRW oder eine bloße Wissenserklärung? Die E-Mail enthält den Satz "die Senatsentscheidung wird zeitnah umgesetzt" — keine Regelung, keine Rechtsbehelfsbelehrung, kein Adressbezug; wir tendieren zu "Wissenserklärung", aber dies muss verteidigt werden.</w:t>
      </w:r>
    </w:p>
    <w:p>
      <w:pPr>
        <w:pStyle w:val="ListBullet"/>
      </w:pPr>
      <w:r>
        <w:rPr>
          <w:b/>
        </w:rPr>
        <w:t>Bestellungsbescheid vom 05.05.2026</w:t>
      </w:r>
      <w:r>
        <w:t>: dies ist der eigentliche Verwaltungsakt mit Rechtsbehelfsbelehrung. Hier setzt die Anfechtungsfrist an.</w:t>
      </w:r>
    </w:p>
    <w:p>
      <w:pPr>
        <w:pStyle w:val="Heading3"/>
      </w:pPr>
      <w:r>
        <w:rPr>
          <w:rFonts w:ascii="Times New Roman" w:hAnsi="Times New Roman"/>
        </w:rPr>
        <w:t>3. Frist und zuständiger Rechtsbehelf</w:t>
      </w:r>
    </w:p>
    <w:p>
      <w:pPr>
        <w:pStyle w:val="ListBullet"/>
      </w:pPr>
      <w:r>
        <w:rPr>
          <w:b/>
        </w:rPr>
        <w:t>Bekanntgabe Bestellungsbescheid</w:t>
      </w:r>
      <w:r>
        <w:t>: 12.05.2026 per Einwurf-Einschreiben — dokumentiert?</w:t>
      </w:r>
    </w:p>
    <w:p>
      <w:pPr>
        <w:pStyle w:val="ListBullet"/>
      </w:pPr>
      <w:r>
        <w:rPr>
          <w:b/>
        </w:rPr>
        <w:t>Widerspruchsfrist</w:t>
      </w:r>
      <w:r>
        <w:t xml:space="preserve">: 1 Monat nach § 70 Abs. 1 VwGO, also bis </w:t>
      </w:r>
      <w:r>
        <w:rPr>
          <w:b/>
        </w:rPr>
        <w:t>12.06.2026</w:t>
      </w:r>
      <w:r>
        <w:t>.</w:t>
      </w:r>
    </w:p>
    <w:p>
      <w:pPr>
        <w:pStyle w:val="ListBullet"/>
      </w:pPr>
      <w:r>
        <w:rPr>
          <w:b/>
        </w:rPr>
        <w:t>Widerspruchsbehörde</w:t>
      </w:r>
      <w:r>
        <w:t xml:space="preserve">: Rektorat selbst (Selbstkontrolle) oder gem. Landesrecht das Ministerium für Kultur und Wissenschaft NRW. In NRW gilt nach § 110 JustG NRW: kein Widerspruchsverfahren bei Hochschulen, direkter Klageweg. </w:t>
      </w:r>
      <w:r>
        <w:rPr>
          <w:b/>
        </w:rPr>
        <w:t>WICHTIG: Live prüfen</w:t>
      </w:r>
      <w:r>
        <w:t xml:space="preserve"> — die Vorschrift wurde mehrfach geändert.</w:t>
      </w:r>
    </w:p>
    <w:p>
      <w:pPr>
        <w:pStyle w:val="ListBullet"/>
      </w:pPr>
      <w:r>
        <w:rPr>
          <w:b/>
        </w:rPr>
        <w:t>Klagefrist</w:t>
      </w:r>
      <w:r>
        <w:t xml:space="preserve"> ggf. </w:t>
      </w:r>
      <w:r>
        <w:rPr>
          <w:b/>
        </w:rPr>
        <w:t>1 Monat</w:t>
      </w:r>
      <w:r>
        <w:t xml:space="preserve"> nach Bekanntgabe nach § 74 VwGO.</w:t>
      </w:r>
    </w:p>
    <w:p>
      <w:pPr>
        <w:pStyle w:val="ListBullet"/>
      </w:pPr>
      <w:r>
        <w:rPr>
          <w:b/>
        </w:rPr>
        <w:t>Eilantrag</w:t>
      </w:r>
      <w:r>
        <w:t xml:space="preserve"> parallel über § 123 VwGO (einstweilige Anordnung gegen Bestellung), wenn die Bestellung bevorsteht oder vollzogen wird, aber das Konkurrentenverhältnis noch nicht endgültig geklärt ist.</w:t>
      </w:r>
    </w:p>
    <w:p>
      <w:pPr>
        <w:pStyle w:val="Heading3"/>
      </w:pPr>
      <w:r>
        <w:rPr>
          <w:rFonts w:ascii="Times New Roman" w:hAnsi="Times New Roman"/>
        </w:rPr>
        <w:t>4. Akteneinsicht und fehlende Protokolle</w:t>
      </w:r>
    </w:p>
    <w:p>
      <w:pPr>
        <w:pStyle w:val="ListBullet"/>
      </w:pPr>
      <w:r>
        <w:rPr>
          <w:b/>
        </w:rPr>
        <w:t>Akteneinsichtsantrag</w:t>
      </w:r>
      <w:r>
        <w:t xml:space="preserve"> gemäß § 29 VwVfG NRW iVm den landeshochschulrechtlichen Spezialregelungen.</w:t>
      </w:r>
    </w:p>
    <w:p>
      <w:pPr>
        <w:pStyle w:val="ListBullet"/>
      </w:pPr>
      <w:r>
        <w:rPr>
          <w:b/>
        </w:rPr>
        <w:t>Berufungskommissions-Protokoll</w:t>
      </w:r>
      <w:r>
        <w:t xml:space="preserve"> komplett, mit Liste, Abstimmungsergebnissen, Begründungstexten.</w:t>
      </w:r>
    </w:p>
    <w:p>
      <w:pPr>
        <w:pStyle w:val="ListBullet"/>
      </w:pPr>
      <w:r>
        <w:rPr>
          <w:b/>
        </w:rPr>
        <w:t>Senatsprotokoll</w:t>
      </w:r>
      <w:r>
        <w:t xml:space="preserve"> vom 24.04.2026 vollständig (nicht nur Auszug, der bereits vorliegt).</w:t>
      </w:r>
    </w:p>
    <w:p>
      <w:pPr>
        <w:pStyle w:val="ListBullet"/>
      </w:pPr>
      <w:r>
        <w:rPr>
          <w:b/>
        </w:rPr>
        <w:t>Vergleichende Eignungsprofile</w:t>
      </w:r>
      <w:r>
        <w:t xml:space="preserve"> der Mitbewerber (anonymisiert / pseudonymisiert).</w:t>
      </w:r>
    </w:p>
    <w:p>
      <w:pPr>
        <w:pStyle w:val="ListBullet"/>
      </w:pPr>
      <w:r>
        <w:rPr>
          <w:b/>
        </w:rPr>
        <w:t>Schriftverkehr</w:t>
      </w:r>
      <w:r>
        <w:t xml:space="preserve"> Berufungskommission ↔ Rektorat ↔ externe Gutachter.</w:t>
      </w:r>
    </w:p>
    <w:p>
      <w:pPr>
        <w:pStyle w:val="ListBullet"/>
      </w:pPr>
      <w:r>
        <w:rPr>
          <w:b/>
        </w:rPr>
        <w:t>Stellungnahmen externer Gutachter</w:t>
      </w:r>
      <w:r>
        <w:t xml:space="preserve"> zu allen Listenplätzen.</w:t>
      </w:r>
    </w:p>
    <w:p>
      <w:pPr>
        <w:pStyle w:val="ListBullet"/>
      </w:pPr>
      <w:r>
        <w:rPr>
          <w:b/>
        </w:rPr>
        <w:t>E-Mail-Verkehr</w:t>
      </w:r>
      <w:r>
        <w:t xml:space="preserve"> Drittmittelgeber (Industrieunternehmen) ↔ Hochschulleitung, falls die Drittmittel-Geheimnisvereinbarung das Berufungsverfahren beeinflusst hat.</w:t>
      </w:r>
    </w:p>
    <w:p>
      <w:pPr>
        <w:pStyle w:val="Heading3"/>
      </w:pPr>
      <w:r>
        <w:rPr>
          <w:rFonts w:ascii="Times New Roman" w:hAnsi="Times New Roman"/>
        </w:rPr>
        <w:t>5. Beweisthemen für künftiges Verfahren</w:t>
      </w:r>
    </w:p>
    <w:p>
      <w:pPr>
        <w:pStyle w:val="ListBullet"/>
      </w:pPr>
      <w:r>
        <w:rPr>
          <w:b/>
        </w:rPr>
        <w:t>Bestenauslese-Vergleich</w:t>
      </w:r>
      <w:r>
        <w:t xml:space="preserve"> (Art. 33 II GG): War die Reihung leistungsbezogen? Sind die Bewertungen nachvollziehbar?</w:t>
      </w:r>
    </w:p>
    <w:p>
      <w:pPr>
        <w:pStyle w:val="ListBullet"/>
      </w:pPr>
      <w:r>
        <w:rPr>
          <w:b/>
        </w:rPr>
        <w:t>Verfahrensfehler</w:t>
      </w:r>
      <w:r>
        <w:t>: Wurde die Personalvertretung beteiligt (LPVG NRW)? Wurde die Drittmittelordnung eingehalten?</w:t>
      </w:r>
    </w:p>
    <w:p>
      <w:pPr>
        <w:pStyle w:val="ListBullet"/>
      </w:pPr>
      <w:r>
        <w:rPr>
          <w:b/>
        </w:rPr>
        <w:t>Sachfremde Einflussnahme</w:t>
      </w:r>
      <w:r>
        <w:t>: Gibt es Anhaltspunkte, dass Industrie-Drittmittel als Auswahlkriterium gewirkt haben?</w:t>
      </w:r>
    </w:p>
    <w:p>
      <w:pPr>
        <w:pStyle w:val="ListBullet"/>
      </w:pPr>
      <w:r>
        <w:rPr>
          <w:b/>
        </w:rPr>
        <w:t>Beratungspflicht und Befangenheit</w:t>
      </w:r>
      <w:r>
        <w:t>: War ein Mitglied der Berufungskommission gleichzeitig in einer Geschäftsbeziehung mit dem Drittmittelgeber?</w:t>
      </w:r>
    </w:p>
    <w:p>
      <w:pPr>
        <w:pStyle w:val="Heading2"/>
      </w:pPr>
      <w:r>
        <w:rPr>
          <w:rFonts w:ascii="Times New Roman" w:hAnsi="Times New Roman"/>
        </w:rPr>
        <w:t>Sofortmaßnahmen (heute)</w:t>
      </w:r>
    </w:p>
    <w:p>
      <w:pPr>
        <w:pStyle w:val="ListNumber"/>
      </w:pPr>
      <w:r>
        <w:t xml:space="preserve">Widerspruchsfrist im Kanzleisystem mit Vorfrist 14 Tage eintragen — </w:t>
      </w:r>
      <w:r>
        <w:rPr>
          <w:b/>
        </w:rPr>
        <w:t>Frist 12.06.2026</w:t>
      </w:r>
      <w:r>
        <w:t>.</w:t>
      </w:r>
    </w:p>
    <w:p>
      <w:pPr>
        <w:pStyle w:val="ListNumber"/>
      </w:pPr>
      <w:r>
        <w:t>Akteneinsichtsantrag per Einschreiben mit Rückschein an Rektorat raus.</w:t>
      </w:r>
    </w:p>
    <w:p>
      <w:pPr>
        <w:pStyle w:val="ListNumber"/>
      </w:pPr>
      <w:r>
        <w:t>Mandantin bitten, alle eigenen Bewerbungsunterlagen (vollständig) und Stellungnahme zur Verfahrensteilnahme zu übersenden.</w:t>
      </w:r>
    </w:p>
    <w:p>
      <w:pPr>
        <w:pStyle w:val="ListNumber"/>
      </w:pPr>
      <w:r>
        <w:t>Externe Beratung (BR Hochschulpersonalrat) als Zeugin abklären.</w:t>
      </w:r>
    </w:p>
    <w:p>
      <w:pPr>
        <w:pStyle w:val="ListNumber"/>
      </w:pPr>
      <w:r>
        <w:t>Vorbereitung des Eilantrags nach § 123 VwGO mit Anordnungsanspruch (Bestenauslese) und Anordnungsgrund (drohende Bestellung des Konkurrenten verbunden mit faktischer Vereitelung des Rechtsschutzes).</w:t>
      </w:r>
    </w:p>
    <w:p>
      <w:pPr>
        <w:pStyle w:val="Heading2"/>
      </w:pPr>
      <w:r>
        <w:rPr>
          <w:rFonts w:ascii="Times New Roman" w:hAnsi="Times New Roman"/>
        </w:rPr>
        <w:t>Risiken transparent benennen</w:t>
      </w:r>
    </w:p>
    <w:p>
      <w:pPr>
        <w:pStyle w:val="ListBullet"/>
      </w:pPr>
      <w:r>
        <w:t>Eilrechtsschutz vor Bestellung ist deutlich aussichtsreicher als Anfechtung nach Bestellung.</w:t>
      </w:r>
    </w:p>
    <w:p>
      <w:pPr>
        <w:pStyle w:val="ListBullet"/>
      </w:pPr>
      <w:r>
        <w:t>Mit Antritt der Konkurrenz-Stelle entsteht faktisch Vollzugslage, die Rückabwicklung erschwert.</w:t>
      </w:r>
    </w:p>
    <w:p>
      <w:pPr>
        <w:pStyle w:val="ListBullet"/>
      </w:pPr>
      <w:r>
        <w:t>Erforderliche Substantiierung im Eilverfahren ist hoch — wir brauchen die Akten.</w:t>
      </w:r>
    </w:p>
    <w:p>
      <w:pPr>
        <w:pStyle w:val="ListBullet"/>
      </w:pPr>
      <w:r>
        <w:t>Kosten: ca. 8.000-15.000 EUR (Eilverfahren + Hauptsache, ohne Beweisaufnahme).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