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Hochschulakte Berufung, Senat und Drittmittel</w:t>
      </w:r>
    </w:p>
    <w:p>
      <w:pPr>
        <w:pStyle w:val="Heading2"/>
      </w:pPr>
      <w:r>
        <w:rPr>
          <w:rFonts w:ascii="Times New Roman" w:hAnsi="Times New Roman"/>
        </w:rPr>
        <w:t>Vollständige Gesprächsnotiz</w:t>
      </w:r>
    </w:p>
    <w:p>
      <w:pPr>
        <w:jc w:val="left"/>
      </w:pPr>
      <w:r>
        <w:t>Am 04.06.2026 schilderte Prof. Dr. Enno Ried, Berufungskommission Campus Rheinbogen die Angelegenheit in einem längeren Telefonat. Gegenstand ist Berufungsverfahren, Drittmittelinteressen, Befangenheit eines Kommissionsmitglieds und Konflikt zwischen Fakultät, Senat und Hochschulleitung.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Ein Kommissionsmitglied kooperiert in einem EU-Projekt mit der Erstplatzierten. Der Senat verlangt eine Begründung zur Listenreihung, während das Präsidium wegen Drittmittelperspektive auf schnelle Ruferteilung drängt.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Dekanin an Rechtsdezernat</w:t>
      </w:r>
    </w:p>
    <w:p>
      <w:pPr>
        <w:jc w:val="left"/>
      </w:pPr>
      <w:r>
        <w:t>```</w:t>
      </w:r>
    </w:p>
    <w:p>
      <w:pPr>
        <w:jc w:val="left"/>
      </w:pPr>
      <w:r>
        <w:t>Von:      dekanat@campus-rheinbogen.test</w:t>
      </w:r>
    </w:p>
    <w:p>
      <w:pPr>
        <w:jc w:val="left"/>
      </w:pPr>
      <w:r>
        <w:t>An:       rechtsdezernat@campus-rheinbogen.test</w:t>
      </w:r>
    </w:p>
    <w:p>
      <w:pPr>
        <w:jc w:val="left"/>
      </w:pPr>
      <w:r>
        <w:t>Datum:    Do 04.06.2026, 08:47 Uhr</w:t>
      </w:r>
    </w:p>
    <w:p>
      <w:pPr>
        <w:jc w:val="left"/>
      </w:pPr>
      <w:r>
        <w:t>Betreff:  Berufung W3 Data Governance - Befangenheit und Drittmittelzusage</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sichern Sie Transparenz, Befangenheitsprüfung, Dokumentation der Auswahlkriterien und gerichtsfeste Begründung.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Prof. Dr. Enno Ried, Berufungskommission Campus Rheinbogen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Verfahrensvermerk und Nachsteuerungsbeschluss</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