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Eine Creatorin erhält Hotelaufenthalt, Kamera und Honorar für mehrere Storys und Reels.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Ein Rabattcode läuft weiter, obwohl der Vertrag beendet ist.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Die Steuerberatung fragt nach Bewertung der Sachleistungen und Umsatzsteuer.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Ein Reel nutzt populäre Musik aus der Plattformbibliothek zusätzlich als Werbeanzeige.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Ein Minderjähriger erscheint im Video; die Einwilligung ist nur per Messenger dokumentiert.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Die Medienanstalt fragt wegen unklarer Werbekennzeichnung nach.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