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Luna Kanal, Creatorin aus Köln, die Agentur Silbermond Social GmbH, Hotel Auerhahn Tegernsee, Kamera-Hersteller Fokussiert AG, Steuerkanzlei Brenner &amp; Weiß sowie die zuständige Landesmedienanstalt.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Sachleistungen, Werbekennzeichnung, Umsatzsteuer, Einkommensteuer, Musikrechte, Minderjährigeneinwilligung und Plattformwerbung laufen in einer Kampagne ineinander.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 3, 5a UWG; § 6 TMG/Medienstaatsvertrag je nach Telemedienkontext; §§ 12, 13, 14 UStG; § 8 Abs. 2 EStG; KUG/Recht am Bild; DSGVO Art. 6, 7, 8; urheberrechtliche Nutzungsrechte an Musik und Plattformbibliotheken.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