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Luna Kanal: Sachleistungen, Rabattcodes, Musikrechte und Steuerprüfung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 3, 5a UWG; § 6 TMG/Medienstaatsvertrag je nach Telemedienkontext; §§ 12, 13, 14 UStG; § 8 Abs. 2 EStG; KUG/Recht am Bild; DSGVO Art. 6, 7, 8; urheberrechtliche Nutzungsrechte an Musik und Plattformbibliotheken.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