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Luna Kanal: Sachleistungen, Rabattcodes, Musikrechte und Steuerprüfung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§§ 3, 5a UWG; § 6 TMG/Medienstaatsvertrag je nach Telemedienkontext; §§ 12, 13, 14 UStG; § 8 Abs. 2 EStG; KUG/Recht am Bild; DSGVO Art. 6, 7, 8; urheberrechtliche Nutzungsrechte an Musik und Plattformbibliotheken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