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Luna Kanal: Sachleistungen, Rabattcodes, Musikrechte und Steuerprüfung</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Sachleistungen, Werbekennzeichnung, Umsatzsteuer, Einkommensteuer, Musikrechte, Minderjährigeneinwilligung und Plattformwerbung laufen in einer Kampagne ineinander.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 3, 5a UWG; § 6 TMG/Medienstaatsvertrag je nach Telemedienkontext; §§ 12, 13, 14 UStG; § 8 Abs. 2 EStG; KUG/Recht am Bild; DSGVO Art. 6, 7, 8; urheberrechtliche Nutzungsrechte an Musik und Plattformbibliotheken.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