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Klinikdaten, Kostenbescheid, Drittbeteiligung privater Betreiber und Fristdruck der Redaktion. Für eine sachgerechte Prüfung benötigen wir keine pauschale Bewertung, sondern eine nachvollziehbare Zuordnung zu IFG, UIG, VIG, Landespressegesetz, DSGVO, Betriebs- und Geschäftsgeheimnisse, Drittbeteiligung, Gebührenrecht und verwaltungsgerichtlicher Eilrechtsschutz.</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