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Gerichtsortprüfung ModeFuchs</w:t>
      </w:r>
    </w:p>
    <w:p>
      <w:pPr>
        <w:pStyle w:val="Heading2"/>
      </w:pPr>
      <w:r>
        <w:rPr>
          <w:rFonts w:ascii="Times New Roman" w:hAnsi="Times New Roman"/>
        </w:rPr>
        <w:t>Ausgangspunkt</w:t>
      </w:r>
    </w:p>
    <w:p>
      <w:pPr>
        <w:jc w:val="left"/>
      </w:pPr>
      <w:r>
        <w:t>Beklagter ist Gottlieb von Altenhausen mit Nürnberger Anschrift. Für die streitige Klage ist daher der allgemeine Gerichtsstand am Wohnsitz zu prüfen. Die vorhandene Klageschrift nennt das Amtsgericht Nürnberg.</w:t>
      </w:r>
    </w:p>
    <w:p>
      <w:pPr>
        <w:pStyle w:val="Heading2"/>
      </w:pPr>
      <w:r>
        <w:rPr>
          <w:rFonts w:ascii="Times New Roman" w:hAnsi="Times New Roman"/>
        </w:rPr>
        <w:t>Sachliche Zuständigkeit</w:t>
      </w:r>
    </w:p>
    <w:p>
      <w:pPr>
        <w:jc w:val="left"/>
      </w:pPr>
      <w:r>
        <w:t>Streitwert nach korrekter Gatekeeper-Logik:</w:t>
      </w:r>
    </w:p>
    <w:p>
      <w:pPr>
        <w:pStyle w:val="ListBullet"/>
      </w:pPr>
      <w:r>
        <w:t>Hauptforderung: nicht mehr streitig.</w:t>
      </w:r>
    </w:p>
    <w:p>
      <w:pPr>
        <w:pStyle w:val="ListBullet"/>
      </w:pPr>
      <w:r>
        <w:t>Potenziell streitig: 99,84 EUR Nebenforderungen.</w:t>
      </w:r>
    </w:p>
    <w:p>
      <w:pPr>
        <w:jc w:val="left"/>
      </w:pPr>
      <w:r>
        <w:t>Damit liegt die Sache eindeutig im amtsgerichtlichen Bereich. Im Echtlauf sind Sonderzuständigkeiten und die aktuelle Fassung von § 23 GVG zu prüfen.</w:t>
      </w:r>
    </w:p>
    <w:p>
      <w:pPr>
        <w:pStyle w:val="Heading2"/>
      </w:pPr>
      <w:r>
        <w:rPr>
          <w:rFonts w:ascii="Times New Roman" w:hAnsi="Times New Roman"/>
        </w:rPr>
        <w:t>Örtliche Zuständigkeit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Allgemeiner Gerichtsstand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Nürnberg, wenn die aktuelle ladungsfähige Anschrift dort liegt.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Erfüllungsort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Geldforderungen nicht vorschnell Sitz der Gläubigerin annehmen.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Verbrauchervertrag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 ist als Verbraucher zu behandeln; § 29c ZPO und Grenzen von Gerichtsstandsvereinbarungen beachten.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Mahnverfahren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Für Bayern ist das zentrale Mahngericht AG Coburg zu prüfen.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Online-Pflicht im Skilllauf</w:t>
      </w:r>
    </w:p>
    <w:p>
      <w:pPr>
        <w:jc w:val="left"/>
      </w:pPr>
      <w:r>
        <w:t>Vor Ausgabe einer echten Klage muss der Skill online dokumentieren:</w:t>
      </w:r>
    </w:p>
    <w:p>
      <w:pPr>
        <w:pStyle w:val="ListBullet"/>
      </w:pPr>
      <w:r>
        <w:t>Justizportal oder Landesjustizportal für Amtsgericht Nürnberg:</w:t>
      </w:r>
    </w:p>
    <w:p>
      <w:pPr>
        <w:jc w:val="left"/>
      </w:pPr>
      <w:r>
        <w:t>https://www.justiz.bayern.de/gerichte-und-behoerden/amtsgerichte/nuernberg/gerichtsbezirk.php</w:t>
      </w:r>
    </w:p>
    <w:p>
      <w:pPr>
        <w:pStyle w:val="ListBullet"/>
      </w:pPr>
      <w:r>
        <w:t>Kontakt-/Anschriftseite Amtsgericht Nürnberg:</w:t>
      </w:r>
    </w:p>
    <w:p>
      <w:pPr>
        <w:jc w:val="left"/>
      </w:pPr>
      <w:r>
        <w:t>https://www.justiz.bayern.de/gerichte-und-behoerden/amtsgerichte/nuernberg/kontakt.php</w:t>
      </w:r>
    </w:p>
    <w:p>
      <w:pPr>
        <w:pStyle w:val="ListBullet"/>
      </w:pPr>
      <w:r>
        <w:t>Zentrales Mahngericht Bayern für AG Coburg:</w:t>
      </w:r>
    </w:p>
    <w:p>
      <w:pPr>
        <w:jc w:val="left"/>
      </w:pPr>
      <w:r>
        <w:t>https://www.mahngerichte.de/</w:t>
      </w:r>
    </w:p>
    <w:p>
      <w:pPr>
        <w:pStyle w:val="ListBullet"/>
      </w:pPr>
      <w:r>
        <w:t>Abrufdatum.</w:t>
      </w:r>
    </w:p>
    <w:p>
      <w:pPr>
        <w:pStyle w:val="ListBullet"/>
      </w:pPr>
      <w:r>
        <w:t>genaue Postanschrift und elektronische Erreichbarkeit, soweit öffentlich gelistet.</w:t>
      </w:r>
    </w:p>
    <w:p>
      <w:pPr>
        <w:pStyle w:val="Heading2"/>
      </w:pPr>
      <w:r>
        <w:rPr>
          <w:rFonts w:ascii="Times New Roman" w:hAnsi="Times New Roman"/>
        </w:rPr>
        <w:t>Ergebnis für die Akte</w:t>
      </w:r>
    </w:p>
    <w:p>
      <w:pPr>
        <w:jc w:val="left"/>
      </w:pPr>
      <w:r>
        <w:t>AG Nürnberg ist plausibel, aber nicht blind zu übernehmen. Vor Einreichung muss die aktuelle Nürnberger Anschrift des Beklagten bestätigt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