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Meridian MedTech AG, CEO, Investor Relations, Kanzlei, Research-Analystin, BaFin und potenzieller Käufer.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M&amp;A-Gerücht trifft auf echte Due-Diligence-Daten, Aktienoptionen, Chatgruppen und eine verzögerte Ad-hoc-Entscheidung.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MAR Art. 7, 17, 18; WpHG; Insiderlisten; Directors Dealings; Ad-hoc-Aufschub; BaFin-Kommunikation.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