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Zeitstrahl</w:t>
      </w:r>
    </w:p>
    <w:p>
      <w:pPr>
        <w:jc w:val="left"/>
      </w:pPr>
      <w:r>
        <w:t>Meridian MedTech SE ist im regulierten Markt notiert. Seit April 2026 verhandelt sie exklusiv über den Erwerb der belgischen NeuroValve NV. Der Vorstand hält die Transaktion für strategisch erheblich; Finanzierung und kartellrechtliche Freigabe sind offen. Am 03.06.2026, 21:17 Uhr, erscheint in einem Branchennewsletter ein Gerücht über eine "große belgische Herzklappen-Akquisition". Am Folgetag steigt die Aktie vorbörslich deutlich.</w:t>
      </w:r>
    </w:p>
    <w:p>
      <w:pPr>
        <w:pStyle w:val="Heading2"/>
      </w:pPr>
      <w:r>
        <w:rPr>
          <w:rFonts w:ascii="Times New Roman" w:hAnsi="Times New Roman"/>
        </w:rPr>
        <w:t>Offene Fragen</w:t>
      </w:r>
    </w:p>
    <w:p>
      <w:pPr>
        <w:pStyle w:val="ListBullet"/>
      </w:pPr>
      <w:r>
        <w:t>Ist der Verhandlungsstand bereits eine präzise Information?</w:t>
      </w:r>
    </w:p>
    <w:p>
      <w:pPr>
        <w:pStyle w:val="ListBullet"/>
      </w:pPr>
      <w:r>
        <w:t>Darf weiter aufgeschoben werden?</w:t>
      </w:r>
    </w:p>
    <w:p>
      <w:pPr>
        <w:pStyle w:val="ListBullet"/>
      </w:pPr>
      <w:r>
        <w:t>Wer muss auf die Insiderliste?</w:t>
      </w:r>
    </w:p>
    <w:p>
      <w:pPr>
        <w:pStyle w:val="ListBullet"/>
      </w:pPr>
      <w:r>
        <w:t>Sind zwei Mitarbeitergeschäfte am 31.05.2026 zu sperren oder nachträglich zu untersuchen?</w:t>
      </w:r>
    </w:p>
    <w:p>
      <w:pPr>
        <w:pStyle w:val="ListBullet"/>
      </w:pPr>
      <w:r>
        <w:t>Muss die Ad-hoc-Mitteilung nur den Erwerb nennen oder auch Finanzierung und Closing-Bedingungen?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