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00 — Übersichtsblatt, Akteneinsicht, Fristen</w:t>
      </w:r>
    </w:p>
    <w:p>
      <w:pPr>
        <w:pStyle w:val="Heading2"/>
      </w:pPr>
      <w:r>
        <w:rPr>
          <w:rFonts w:ascii="Times New Roman" w:hAnsi="Times New Roman"/>
        </w:rPr>
        <w:t>Sachverhalts-Steckbrief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Insolvenzschuldnerin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ChainCortex AI GmbH, Linienstraße 219a, 10119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234567 B (AG Charlottenburg)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15.01.2026 (Eigenantrag, § 13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Eröffnungsbeschluss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01.04.2026 (AG Charlottenburg)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36 IN 1342/26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Insolvenzverwalter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Dr. Konrad Vorberg,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Berichtstermin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11.06.2026, 09:00 Uhr (Saal 4188, AG Charlottenburg)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Schlusstermin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Hauptverwertung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Asset Deal zugunsten Voracis Ventures GmbH (Newco)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Verhandelter Kaufpreis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[400.000,00 EUR] (zzgl. ggf. USt — bei GiG nein)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Übernahmestichtag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Tickerliste / Fristen-Cockpit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Berichtstermin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 Berichterstattung Verwalter, Sachverhaltsdarstellung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wird vorbereitet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Anhörung Gläubigerausschuss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Beschluss über Asset-Deal-Zustimmung (§§ 160, 162 InsO)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Beschlussvorlage in 06_…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Unterzeichnung Asset-Purchase-Agreement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 positiver GA-Zustimmung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wird vorbereitet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Übernahmestichtag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 § 613a V BGB Mitarbeiterunterrichtung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spätestens 01.06.2026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Schreiben an die 12 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in 08_…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Widerspruchsfrist § 613a VI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Monat ab Unterrichtung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individuelle Widerspruchsfrist je 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überwachen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Datenübertragungs-Information Privatkunden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01.07.2026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 Art. 14 i. V. m. § 13 BDSG-Information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in 07_…, eml/…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Massenentlassungsanzeige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 nicht-Übernahme von 2 AN: ggf. relevant nach § 17 KSchG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in 08_…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Marken-Umschreibungs-Antrag DPMA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Tage nach Closing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28 MarkenG; Voracis als neue Inhaberin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für 11_… vorbereitet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 § 167 InsO Berichtspflicht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quartalsweise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Gläubigerinformation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läuft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Akteneinsicht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Verwalter Vorberg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02.04.-15.05.2026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 Schuldnerin + Cloud-Backups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Bestandsaufnahme Assets, Verträge, Buchhaltung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Käufer-Anwalt Strehlemann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21.04.-30.05.2026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Daten-Raum (Drooms, Token 22 Personen)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Limited Buy-Side DD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Charlottenburg (Richter Bandel)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jederzeit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physische Akte + EAKTE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Aufsicht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Quellenhygiene-Stempel</w:t>
      </w:r>
    </w:p>
    <w:p>
      <w:pPr>
        <w:jc w:val="left"/>
      </w:pPr>
      <w:r>
        <w:t>Sämtliche Norm-Stellen in dieser Akte verweisen auf dejure.org. Rechtsprechungs-Zitate (insbesondere EuGH C-732/22 zur Datenübertragung im Asset Deal) sind im Anschreiben jeweils mit Aktenzeichen und Datum versehen; Live-Verifikation via curia.europa.eu.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