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01 — Mandatsannahme Insolvenzverwalter / Konfliktprüfung</w:t>
      </w:r>
    </w:p>
    <w:p>
      <w:pPr>
        <w:pStyle w:val="Heading2"/>
      </w:pPr>
      <w:r>
        <w:rPr>
          <w:rFonts w:ascii="Times New Roman" w:hAnsi="Times New Roman"/>
        </w:rPr>
        <w:t>Sachverhalt der Bestellung</w:t>
      </w:r>
    </w:p>
    <w:p>
      <w:pPr>
        <w:jc w:val="left"/>
      </w:pPr>
      <w:r>
        <w:t xml:space="preserve">Mit Beschluss des AG Charlottenburg vom 01.04.2026 (Az. 36 IN 1342/26) wurde Herr Rechtsanwalt Dr. Konrad Vorberg, Vorberg + Steinhausen Rechtsanwälte mbB, zum Insolvenzverwalter über das Vermögen der ChainCortex AI GmbH (Schuldnerin) bestellt. Die Bestellungsurkunde liegt vor (siehe </w:t>
      </w:r>
      <w:r>
        <w:t>02_…</w:t>
      </w:r>
      <w:r>
        <w:t>).</w:t>
      </w:r>
    </w:p>
    <w:p>
      <w:pPr>
        <w:pStyle w:val="Heading2"/>
      </w:pPr>
      <w:r>
        <w:rPr>
          <w:rFonts w:ascii="Times New Roman" w:hAnsi="Times New Roman"/>
        </w:rPr>
        <w:t>Konflikt- und Unabhängigkeitsprüfung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Beleg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Eigene Anteile / Mandate Schuldnerin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Kanzleidatenbank-Auszug 02.04.2026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Mandate Hauptgläubiger Berliner Mittelstandsbank 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(letztes Mandat 2018 abgeschlossen, kein Bezug)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Kanzleidatenbank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Mandate Käufer-Newco Voracis Ventures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(Newco gegründet 02.05.2026 — nach Bestellung)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Handelsregister-Auszug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Mandate Genmar Holding GmbH (Käufer-Mutter)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Kanzleidatenbank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Persönliche Beziehung GF Knoebel-Brandeis / GF Hennings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Kanzleidatenbank, Anhörung 03.04.2026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Vorbefassung beratend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nein, kein Beratungsmandat vor Insolvenzeintritt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Kanzleidatenbank</w:t>
            </w:r>
          </w:p>
        </w:tc>
      </w:tr>
    </w:tbl>
    <w:p>
      <w:pPr>
        <w:jc w:val="left"/>
      </w:pPr>
      <w:r>
        <w:t xml:space="preserve">Der Verwalter ist gemäß § 56 I InsO </w:t>
      </w:r>
      <w:r>
        <w:rPr>
          <w:b/>
        </w:rPr>
        <w:t>unabhängig</w:t>
      </w:r>
      <w:r>
        <w:t>; eine Vorbefassung wäre nicht ausschlussbegründend, fehlt aber ohnehin.</w:t>
      </w:r>
    </w:p>
    <w:p>
      <w:pPr>
        <w:pStyle w:val="Heading2"/>
      </w:pPr>
      <w:r>
        <w:rPr>
          <w:rFonts w:ascii="Times New Roman" w:hAnsi="Times New Roman"/>
        </w:rPr>
        <w:t>Versicherung / Berufshaftpflicht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Berufshaftpflicht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Allianz GbHV-Police Nr. 2024/AVR-12455, Deckungssumme 20 Mio. EUR pro Fall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Insolvenzverwalter-Sondervermögenshaftung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Deckung Wittfeld &amp; Bruckhof Versicherungsmakler — Vermögensschadens-Haftpflicht 5 Mio. EUR (gesondert für Verwaltertätigkeit)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60 InsO Eigenhaftung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 oben benannten Policen erfasst (vorsätzliche Pflichtverletzungen ausgeschlossen)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Aufgabenfelder für die Sachbearbeitung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Workstream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 Kanzlei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Beleg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Allgemeine Verfahrensführung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Dr. Vorberg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Sachverhaltsaufnahme / Buchhaltung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Mathis Reuter + Sachverständiger Wirtschaftsprüfer Edzard Quintbeck (WP Quintbeck Berlin)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Asset-Deal-Strukturierung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Dr. Vorberg + RAin Beate Lottberg (Corporate)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Arbeitsrechtliche Schiene (§ 613a BGB)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Mathis Reuter + Fachanwältin Arbeitsrecht RAin Cornelie Eppenstedt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DSGVO-Schiene Kundendaten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RAin Beate Lottberg + extern Datenschutzbeauftragter Voracis: Dr. Heiko Manderscheid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IP / Marken-Umschreibung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RAin Beate Lottberg</w:t>
            </w:r>
          </w:p>
        </w:tc>
        <w:tc>
          <w:tcPr>
            <w:tcW w:type="dxa" w:w="3024"/>
          </w:tcPr>
          <w:p/>
        </w:tc>
      </w:tr>
    </w:tbl>
    <w:p>
      <w:pPr>
        <w:pStyle w:val="Heading2"/>
      </w:pPr>
      <w:r>
        <w:rPr>
          <w:rFonts w:ascii="Times New Roman" w:hAnsi="Times New Roman"/>
        </w:rPr>
        <w:t>Vergütung des Verwalters</w:t>
      </w:r>
    </w:p>
    <w:p>
      <w:pPr>
        <w:jc w:val="left"/>
      </w:pPr>
      <w:r>
        <w:t xml:space="preserve">Vergütung nach </w:t>
      </w:r>
      <w:r>
        <w:rPr>
          <w:b/>
        </w:rPr>
        <w:t>InsVV</w:t>
      </w:r>
      <w:r>
        <w:t xml:space="preserve"> (Insolvenzrechtliche Vergütungsverordnung). Im Asset-Deal-Erlös sind Massekosten und Verwaltervergütung gemäß §§ 54, 55, 1 InsVV zu berücksichtigen; Verteilungsmasse berechnet sich nach § 1 II InsVV (auf Grundlage der Berechnungsmasse einschließlich Asset-Verwertungserlös abzüglich Massekosten).</w:t>
      </w:r>
    </w:p>
    <w:p>
      <w:pPr>
        <w:pStyle w:val="Heading2"/>
      </w:pPr>
      <w:r>
        <w:rPr>
          <w:rFonts w:ascii="Times New Roman" w:hAnsi="Times New Roman"/>
        </w:rPr>
        <w:t>Mitteilung an Gericht</w:t>
      </w:r>
    </w:p>
    <w:p>
      <w:pPr>
        <w:jc w:val="left"/>
      </w:pPr>
      <w:r>
        <w:t>Aufnahme der Mandatsbestätigung an das AG Charlottenburg per beA am 02.04.2026 (Eingangsbestätigung 03.04.2026, 09:14 Uhr).</w:t>
      </w:r>
    </w:p>
    <w:p>
      <w:pPr>
        <w:pStyle w:val="Heading2"/>
      </w:pPr>
      <w:r>
        <w:rPr>
          <w:rFonts w:ascii="Times New Roman" w:hAnsi="Times New Roman"/>
        </w:rPr>
        <w:t>Bestätigung</w:t>
      </w:r>
    </w:p>
    <w:p>
      <w:pPr>
        <w:jc w:val="left"/>
      </w:pPr>
      <w:r>
        <w:t>Berlin, den 02.04.2026</w:t>
      </w:r>
    </w:p>
    <w:p>
      <w:pPr>
        <w:jc w:val="left"/>
      </w:pPr>
      <w:r>
        <w:t>RA Dr. Konrad Vorberg (Verwalter)</w:t>
      </w:r>
    </w:p>
    <w:p>
      <w:pPr>
        <w:jc w:val="left"/>
      </w:pPr>
      <w:r>
        <w:t>RA Mathis Reuter (Sachbearbeiter)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