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Investorenprozess und Shortlist</w:t>
      </w:r>
    </w:p>
    <w:p>
      <w:pPr>
        <w:pStyle w:val="Heading2"/>
      </w:pPr>
      <w:r>
        <w:rPr>
          <w:rFonts w:ascii="Times New Roman" w:hAnsi="Times New Roman"/>
        </w:rPr>
        <w:t>Verwertungsentscheidung</w:t>
      </w:r>
    </w:p>
    <w:p>
      <w:pPr>
        <w:jc w:val="left"/>
      </w:pPr>
      <w:r>
        <w:t xml:space="preserve">Nach Sichtung der Aktiv- und Passivseite (Berichts-Vorentwurf vom 02.05.2026) entscheidet sich der Verwalter im Einvernehmen mit dem (vorläufigen) Gläubigerausschuss vom 06.05.2026 für eine </w:t>
      </w:r>
      <w:r>
        <w:rPr>
          <w:b/>
        </w:rPr>
        <w:t>Verwertung im Wege des Asset Deals</w:t>
      </w:r>
      <w:r>
        <w:t xml:space="preserve"> statt einer Einzelverwertung (Code-Verkauf an Open-Source-Foundation o. ä.). Begründung:</w:t>
      </w:r>
    </w:p>
    <w:p>
      <w:pPr>
        <w:pStyle w:val="ListBullet"/>
      </w:pPr>
      <w:r>
        <w:t>Software-IP nicht abtrennbar von Know-how und Schulungs-Datensätzen — Einzelverwertung fragmentiert den Wert.</w:t>
      </w:r>
    </w:p>
    <w:p>
      <w:pPr>
        <w:pStyle w:val="ListBullet"/>
      </w:pPr>
      <w:r>
        <w:t>10 von 12 Arbeitsverhältnissen sind „bewahrenswert" (Berufungschancen § 613a BGB).</w:t>
      </w:r>
    </w:p>
    <w:p>
      <w:pPr>
        <w:pStyle w:val="ListBullet"/>
      </w:pPr>
      <w:r>
        <w:t>Kundenbasis (B2B-Komplettangebot) ist nur als laufendes Geschäft monetisierbar.</w:t>
      </w:r>
    </w:p>
    <w:p>
      <w:pPr>
        <w:pStyle w:val="ListBullet"/>
      </w:pPr>
      <w:r>
        <w:t>Eine übertragende Sanierung wahrt die Substanz des Erlöses (kein Asset-Stripping durch Stilllegung).</w:t>
      </w:r>
    </w:p>
    <w:p>
      <w:pPr>
        <w:pStyle w:val="Heading2"/>
      </w:pPr>
      <w:r>
        <w:rPr>
          <w:rFonts w:ascii="Times New Roman" w:hAnsi="Times New Roman"/>
        </w:rPr>
        <w:t>Ansprache der Bieter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Branche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Voracis Ventures GmbH (Newco)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Family-Office-Vehikel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bevorzugter Bieter (siehe Bewertung)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Pebbo Code Holding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RegTech-Konsolidierer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Indikatives Angebot 250 TEUR, kein Arbeitnehmer-Übergang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Northbridge Compliance OY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Helsinki, Finnland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Skandinavische RegTech-Gruppe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IP-Komponente (150 TEUR), kein Personal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Bietergruppe „Asset-Stripper"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(Hedge-Fund-Vehikel)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Indikatives Angebot 320 TEUR, aber Stilllegungsabsicht — Verwalter lehnt aus Gläubigerinteressensicht ab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Bewertung Voracis-Angebot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400 TEUR — höchstes verifiziertes Angebot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Arbeitnehmerübernahme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von 12 Arbeitsverhältnissen — wirkt entlastend auf Masse (Sozialplan-Risiko sinkt)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Closing-Sicherheit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Finanzierung Genmar Holding GmbH zugesagt (Eigenkapital-Letter 4.5 Mio. EUR vorhanden, davon ≥ 400 TEUR zugesichert)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Branchenkompatibilität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Voracis baut eigene RegTech-Schiene aus → Fortführungsperspektive belegbar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Reputation der Geschäftsführerin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Hennings: Ex-Boston Consulting Group, Berlin Office, gute Reputation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Voracis-Eigentümer-Struktur transparent (HRB-Auszug; Beneficial-Ownership-Register-Eintrag erfolgt 12.05.2026)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Shortlisting-Beschluss</w:t>
      </w:r>
    </w:p>
    <w:p>
      <w:pPr>
        <w:jc w:val="left"/>
      </w:pPr>
      <w:r>
        <w:t xml:space="preserve">Der Verwalter hat am </w:t>
      </w:r>
      <w:r>
        <w:rPr>
          <w:b/>
        </w:rPr>
        <w:t>08.05.2026</w:t>
      </w:r>
      <w:r>
        <w:t xml:space="preserve"> den Shortlist-Beschluss gefasst: Allein-Verhandlungsphase mit Voracis Ventures GmbH bis zur Beschlussfassung des Gläubigerausschusses (17.06.2026). Konkurrierende Bieter wurden informiert (Ablehnungsschreiben in Anlage 03a; vorgehalten für Klage-/Anfechtungsfälle).</w:t>
      </w:r>
    </w:p>
    <w:p>
      <w:pPr>
        <w:pStyle w:val="Heading2"/>
      </w:pPr>
      <w:r>
        <w:rPr>
          <w:rFonts w:ascii="Times New Roman" w:hAnsi="Times New Roman"/>
        </w:rPr>
        <w:t>Bietergleichbehandlung</w:t>
      </w:r>
    </w:p>
    <w:p>
      <w:pPr>
        <w:pStyle w:val="ListBullet"/>
      </w:pPr>
      <w:r>
        <w:t>Eine Bidletter-Bestätigung erging an alle Bieter am 12.05.2026 mit gleichen Informationen.</w:t>
      </w:r>
    </w:p>
    <w:p>
      <w:pPr>
        <w:pStyle w:val="ListBullet"/>
      </w:pPr>
      <w:r>
        <w:t>Den 4 Bietern wurde gleicher Zugang zum Datenraum gewährt (28 Tage; Drooms).</w:t>
      </w:r>
    </w:p>
    <w:p>
      <w:pPr>
        <w:pStyle w:val="ListBullet"/>
      </w:pPr>
      <w:r>
        <w:t>Verfahrensprotokoll-Notiz wegen § 60 InsO-Risiko (Bevorzugung) → Dokumentation der Auswahlkriterien sorgfältig geführt.</w:t>
      </w:r>
    </w:p>
    <w:p>
      <w:pPr>
        <w:pStyle w:val="Heading2"/>
      </w:pPr>
      <w:r>
        <w:rPr>
          <w:rFonts w:ascii="Times New Roman" w:hAnsi="Times New Roman"/>
        </w:rPr>
        <w:t>Quelle</w:t>
      </w:r>
    </w:p>
    <w:p>
      <w:pPr>
        <w:pStyle w:val="ListBullet"/>
      </w:pPr>
      <w:r>
        <w:t>BGH IX ZR 169/04 (Urt. v. 13.04.2006) — Verwerterpflichten und Bieter-Gleichbehandlung</w:t>
      </w:r>
    </w:p>
    <w:p>
      <w:pPr>
        <w:pStyle w:val="ListBullet"/>
      </w:pPr>
      <w:r>
        <w:t>BGH IX ZR 80/15 — Maßstäbe pflichtgemäßer Verwertung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