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Due-Diligence-Kurzbericht (Sell-Side / DD-Memo)</w:t>
      </w:r>
    </w:p>
    <w:p>
      <w:pPr>
        <w:ind w:left="567"/>
      </w:pPr>
      <w:r>
        <w:rPr>
          <w:i/>
        </w:rPr>
        <w:t>Auftrag: Sachverhaltsklärung für die Beschlussvorlage des Gläubigerausschusses (Az. 06_…) sowie zur Vorbereitung des Asset-Purchase-Agreements (Az. 09_…). Erstellt durch RAin Beate Lottberg (Corporate) und WP Edzard Quintbeck, Datum 12.06.2026.</w:t>
      </w:r>
    </w:p>
    <w:p>
      <w:pPr>
        <w:pStyle w:val="Heading2"/>
      </w:pPr>
      <w:r>
        <w:rPr>
          <w:rFonts w:ascii="Times New Roman" w:hAnsi="Times New Roman"/>
        </w:rPr>
        <w:t>1. Gesellschaftsrechtliche Lage der Schuldnerin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GmbH, HRB 234567 B AG Charlottenburg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Stammkapital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25.000 EUR (voll eingezahlt)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Hatchprism Holdings B.V. (NL, 64 %), Vitalis Capital Partners GmbH (DE, 26 %), Gründer-Mitarbeiter-ESOP (10 %, verwässert nach Anti-Dilution)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Jasper Knoebel-Brandeis (seit 2019, Eigenantragsteller)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Beirat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Pro-forma; tagte zuletzt am 14.06.2025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Konzernzugehörigkeit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 — keine T-Beziehung; reine Stand-alone-GmbH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Asset-Inventur (immaterielle Vermögensgegenstände)</w:t>
      </w:r>
    </w:p>
    <w:p>
      <w:pPr>
        <w:pStyle w:val="Heading3"/>
      </w:pPr>
      <w:r>
        <w:rPr>
          <w:rFonts w:ascii="Times New Roman" w:hAnsi="Times New Roman"/>
        </w:rPr>
        <w:t>2.1 Software (eigenentwickelt)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Asset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Repository (privat)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Lizenzstatus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ChainCortex Compliance Engine (CCE)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Hauptprodukt: KI-gestützte AML-Analyse-Pipeline für Krypto-Transaktionen (MiCAR-Compliance)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github.com/chaincortex/cce-core (private repo)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Allein-Inhaberin: Schuldnerin (Mitarbeiterurheber: § 69b UrhG, ausschließliche Nutzungsrechte)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BlockSight Sentinel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On-chain-Forensik-Tool (modulares Add-on zu CCE)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github.com/chaincortex/blocksight-sentinel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wie oben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InsightLLM Adapter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Mini-LLM-Wrapper (mit Anthropic/OpenAI-API; nicht weiterverkaufbar als LLM, nur Adapter-Code)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github.com/chaincortex/insightllm-adapter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wie oben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Schulungs-Datensätze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anonymisierte/synthetische On-chain-Daten für Modell-Fine-Tuning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im Repo </w:t>
            </w:r>
            <w:r>
              <w:rPr>
                <w:rFonts w:ascii="Times New Roman" w:hAnsi="Times New Roman"/>
                <w:sz w:val="20"/>
              </w:rPr>
              <w:t>chaincortex/training-data</w:t>
            </w:r>
            <w:r>
              <w:rPr>
                <w:rFonts w:ascii="Times New Roman" w:hAnsi="Times New Roman"/>
                <w:sz w:val="20"/>
              </w:rPr>
              <w:t xml:space="preserve"> (privat; DSGVO-konform, da synthetisch)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Allein-Inhaberin</w:t>
            </w:r>
          </w:p>
        </w:tc>
      </w:tr>
    </w:tbl>
    <w:p>
      <w:pPr>
        <w:jc w:val="left"/>
      </w:pPr>
      <w:r>
        <w:rPr>
          <w:b/>
        </w:rPr>
        <w:t>Open-Source-Audit:</w:t>
      </w:r>
      <w:r>
        <w:t xml:space="preserve"> Nikolas Reuckershoff (Tech-Lead Schuldnerin) hat eine OSS-Compliance-Untersuchung erstellt (</w:t>
      </w:r>
      <w:r>
        <w:t>docx/oss-bom-2025-q4.docx</w:t>
      </w:r>
      <w:r>
        <w:t xml:space="preserve"> — nicht beigefügt, im Datenraum): 47 OSS-Komponenten verwendet, davon 38 unter MIT/Apache-2.0 (unbedenklich), 7 unter LGPL-3.0 (dynamisches Linking — unbedenklich für ein SaaS-Produkt ohne Distribution), 2 unter GPL-3.0 (geprüft: nur Build-Tools, nicht im distributierten Produkt — unbedenklich). </w:t>
      </w:r>
      <w:r>
        <w:rPr>
          <w:b/>
        </w:rPr>
        <w:t>Keine GPL-Kontamination</w:t>
      </w:r>
      <w:r>
        <w:t xml:space="preserve"> der Hauptcodebase.</w:t>
      </w:r>
    </w:p>
    <w:p>
      <w:pPr>
        <w:pStyle w:val="Heading3"/>
      </w:pPr>
      <w:r>
        <w:rPr>
          <w:rFonts w:ascii="Times New Roman" w:hAnsi="Times New Roman"/>
        </w:rPr>
        <w:t>2.2 Markenrechte (DPMA-Eintragungen)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Marke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Form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Reg.-Nr.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Klassen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ChainCortex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Wortmarke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 30 2023 045 678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9, 42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eingetragen, Verlängerung 2033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BlockSight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Wortmarke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 30 2024 098 765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9, 42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eingetragen, Verlängerung 2034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ChainCortex (Logo)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Bildmarke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 30 2023 045 679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9, 42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eingetragen, Verlängerung 2033</w:t>
            </w:r>
          </w:p>
        </w:tc>
      </w:tr>
    </w:tbl>
    <w:p>
      <w:pPr>
        <w:jc w:val="left"/>
      </w:pPr>
      <w:r>
        <w:t>Eintragungen frei von Belastungen Dritter; keine Widerspruchsverfahren; keine Pfändungen.</w:t>
      </w:r>
    </w:p>
    <w:p>
      <w:pPr>
        <w:pStyle w:val="Heading3"/>
      </w:pPr>
      <w:r>
        <w:rPr>
          <w:rFonts w:ascii="Times New Roman" w:hAnsi="Times New Roman"/>
        </w:rPr>
        <w:t>2.3 Domains</w:t>
      </w:r>
    </w:p>
    <w:p>
      <w:pPr>
        <w:pStyle w:val="ListBullet"/>
      </w:pPr>
      <w:r>
        <w:t>chaincortex.ai (Registrar: united-domains GmbH; KK frei)</w:t>
      </w:r>
    </w:p>
    <w:p>
      <w:pPr>
        <w:pStyle w:val="ListBullet"/>
      </w:pPr>
      <w:r>
        <w:t>chaincortex.io (Registrar: GoDaddy)</w:t>
      </w:r>
    </w:p>
    <w:p>
      <w:pPr>
        <w:pStyle w:val="ListBullet"/>
      </w:pPr>
      <w:r>
        <w:t>blocksight-sentinel.io (Registrar: GoDaddy)</w:t>
      </w:r>
    </w:p>
    <w:p>
      <w:pPr>
        <w:pStyle w:val="ListBullet"/>
      </w:pPr>
      <w:r>
        <w:t>blocksight.de (Registrar: united-domains GmbH)</w:t>
      </w:r>
    </w:p>
    <w:p>
      <w:pPr>
        <w:pStyle w:val="Heading3"/>
      </w:pPr>
      <w:r>
        <w:rPr>
          <w:rFonts w:ascii="Times New Roman" w:hAnsi="Times New Roman"/>
        </w:rPr>
        <w:t>2.4 Know-how / Geschäftsgeheimnisse (GeschGehG § 2)</w:t>
      </w:r>
    </w:p>
    <w:p>
      <w:pPr>
        <w:pStyle w:val="ListBullet"/>
      </w:pPr>
      <w:r>
        <w:t xml:space="preserve">Anlernpipelines für CCE-Modell (dokumentiert in </w:t>
      </w:r>
      <w:r>
        <w:t>docs/training-pipeline.md</w:t>
      </w:r>
      <w:r>
        <w:t xml:space="preserve"> Repo </w:t>
      </w:r>
      <w:r>
        <w:t>cce-core</w:t>
      </w:r>
      <w:r>
        <w:t>)</w:t>
      </w:r>
    </w:p>
    <w:p>
      <w:pPr>
        <w:pStyle w:val="ListBullet"/>
      </w:pPr>
      <w:r>
        <w:t>AML-Heuristik-Bibliothek (proprietär; nicht in öffentlich publizierten Whitepapers offengelegt)</w:t>
      </w:r>
    </w:p>
    <w:p>
      <w:pPr>
        <w:pStyle w:val="ListBullet"/>
      </w:pPr>
      <w:r>
        <w:t xml:space="preserve">Modellgewichte: aktuelles Checkpoint (Q4/2025) im Repo </w:t>
      </w:r>
      <w:r>
        <w:t>chaincortex/cce-checkpoints</w:t>
      </w:r>
      <w:r>
        <w:t xml:space="preserve"> (privat, ~3.2 GB)</w:t>
      </w:r>
    </w:p>
    <w:p>
      <w:pPr>
        <w:jc w:val="left"/>
      </w:pPr>
      <w:r>
        <w:t>Schutzmaßnahmen (für § 2 Nr. 1b GeschGehG): Verträge AN mit Verschwiegenheits- und Werkschöpfungsklauseln (siehe AN-Verträge im Datenraum); MFA + Branch-Protection + Need-to-Know-Prinzip.</w:t>
      </w:r>
    </w:p>
    <w:p>
      <w:pPr>
        <w:pStyle w:val="Heading2"/>
      </w:pPr>
      <w:r>
        <w:rPr>
          <w:rFonts w:ascii="Times New Roman" w:hAnsi="Times New Roman"/>
        </w:rPr>
        <w:t>3. Vertragslage (Auswahl)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Typ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Vertragspartner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Hinweise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SaaS-Kundenvertrag (B2B)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12 aktive Kunden — siehe </w:t>
            </w:r>
            <w:r>
              <w:rPr>
                <w:rFonts w:ascii="Times New Roman" w:hAnsi="Times New Roman"/>
                <w:sz w:val="20"/>
              </w:rPr>
              <w:t>xlsx/kundendaten-business.xlsx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sämtlich gekündigt zum 31.07.2026 von Schuldnerseite (§ 103 InsO Wahlrechts-Verzicht des Verwalters); Voracis verhandelt Neuabschluss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SaaS-Kundenvertrag (B2C)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8 aktive Privatkunden — siehe </w:t>
            </w:r>
            <w:r>
              <w:rPr>
                <w:rFonts w:ascii="Times New Roman" w:hAnsi="Times New Roman"/>
                <w:sz w:val="20"/>
              </w:rPr>
              <w:t>xlsx/kundendaten-privat.xlsx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analog gekündigt; Voracis bietet Neuabschluss + Datentransfer-Information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 Büroräume Linienstraße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Pebbo Immo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Kündigung Verwalter § 109 InsO; geräumt 30.06.2026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Cloud-Hosting AWS (Frankfurt-Region)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AWS Inc.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wird vertraglich abgelöst; Voracis übernimmt neue Account-Hülle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Wartungsvertrag Hardware (Lenovo Workstations)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DataMid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31.07.2026, Voracis übernimmt 7 Geräte separat (außerhalb dieses Asset Deals — Verkauf gegen Buchwert 4.200 EUR)</w:t>
            </w:r>
          </w:p>
        </w:tc>
        <w:tc>
          <w:tcPr>
            <w:tcW w:type="dxa" w:w="2268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4. Arbeitnehmer</w:t>
      </w:r>
    </w:p>
    <w:p>
      <w:pPr>
        <w:jc w:val="left"/>
      </w:pPr>
      <w:r>
        <w:t xml:space="preserve">12 Arbeitnehmer (Stand 01.04.2026). Übersicht in </w:t>
      </w:r>
      <w:r>
        <w:t>xlsx/arbeitnehmer-uebernahmestatus.xlsx</w:t>
      </w:r>
      <w:r>
        <w:t>. Davon:</w:t>
      </w:r>
    </w:p>
    <w:p>
      <w:pPr>
        <w:pStyle w:val="ListBullet"/>
      </w:pPr>
      <w:r>
        <w:t>10 Übernahmen geplant (§ 613a BGB Bereitschaft des Käufers)</w:t>
      </w:r>
    </w:p>
    <w:p>
      <w:pPr>
        <w:pStyle w:val="ListBullet"/>
      </w:pPr>
      <w:r>
        <w:t>2 Nicht-Übernahmen (Position Vertriebsleitung dual besetzt — Voracis-eigene Vertriebsleitung; sowie eine Stelle „Office Manager", in Voracis nicht vorgesehen).</w:t>
      </w:r>
    </w:p>
    <w:p>
      <w:pPr>
        <w:jc w:val="left"/>
      </w:pPr>
      <w:r>
        <w:t xml:space="preserve">Sozialplan-Bedarf für die 2 Nicht-Übernommenen: prüfen, ob Schwellenwerte des § 17 KSchG (Massenentlassungsanzeige) erreicht sind — bei 12 AN-Gesamtbelegschaft Schwelle gemäß § 17 I 1 Nr. 1 KSchG nicht erreicht (mehr als 5 AN bei weniger als 20 AN). </w:t>
      </w:r>
      <w:r>
        <w:rPr>
          <w:b/>
        </w:rPr>
        <w:t>Anzeige nicht erforderlich</w:t>
      </w:r>
      <w:r>
        <w:t xml:space="preserve">, aber individuelle Abfindungsverhandlungen über Sozialplan-Komponente vorbereitet (siehe </w:t>
      </w:r>
      <w:r>
        <w:t>08_…</w:t>
      </w:r>
      <w:r>
        <w:t>).</w:t>
      </w:r>
    </w:p>
    <w:p>
      <w:pPr>
        <w:pStyle w:val="Heading2"/>
      </w:pPr>
      <w:r>
        <w:rPr>
          <w:rFonts w:ascii="Times New Roman" w:hAnsi="Times New Roman"/>
        </w:rPr>
        <w:t>5. Kundendaten — DSGVO-Risikobewertung</w:t>
      </w:r>
    </w:p>
    <w:p>
      <w:pPr>
        <w:jc w:val="left"/>
      </w:pPr>
      <w:r>
        <w:t xml:space="preserve">Dies ist der </w:t>
      </w:r>
      <w:r>
        <w:rPr>
          <w:b/>
        </w:rPr>
        <w:t>rechtlich heikelste Workstream</w:t>
      </w:r>
      <w:r>
        <w:t xml:space="preserve">. Detailanalyse in </w:t>
      </w:r>
      <w:r>
        <w:t>07_…</w:t>
      </w:r>
      <w:r>
        <w:t>. Zusammenfassung:</w:t>
      </w:r>
    </w:p>
    <w:p>
      <w:pPr>
        <w:pStyle w:val="ListBullet"/>
      </w:pPr>
      <w:r>
        <w:t>B2B-Kundendaten (12 juristische Personen): unproblematisch (keine personenbezogenen Daten i. S. d. Art. 4 Nr. 1 DSGVO, soweit nur Firmendaten; Ansprechpartner-Klardaten gelten nach EDSA-Stellungnahme als personenbezogen, aber unter Art. 6 I lit. f DSGVO durch berechtigtes Interesse gedeckt).</w:t>
      </w:r>
    </w:p>
    <w:p>
      <w:pPr>
        <w:pStyle w:val="ListBullet"/>
      </w:pPr>
      <w:r>
        <w:t xml:space="preserve">B2C-Kundendaten (8 natürliche Personen): personenbezogene Daten i. S. d. Art. 4 Nr. 1 DSGVO. Rechtsgrundlage für </w:t>
      </w:r>
      <w:r>
        <w:rPr>
          <w:b/>
        </w:rPr>
        <w:t>Übermittlung</w:t>
      </w:r>
      <w:r>
        <w:t xml:space="preserve"> an Voracis: Art. 6 I lit. f DSGVO + EuGH </w:t>
      </w:r>
      <w:r>
        <w:rPr>
          <w:b/>
        </w:rPr>
        <w:t>C-732/22</w:t>
      </w:r>
      <w:r>
        <w:t xml:space="preserve"> (Bonprix, 26.09.2024) — Asset-Deal-Privileg streng auszulegen; Information nach Art. 14 DSGVO ist zwingend (im Anhang </w:t>
      </w:r>
      <w:r>
        <w:t>eml/dsgvo-information-b2c-privatkunden-entwurf.eml</w:t>
      </w:r>
      <w:r>
        <w:t>).</w:t>
      </w:r>
    </w:p>
    <w:p>
      <w:pPr>
        <w:pStyle w:val="Heading2"/>
      </w:pPr>
      <w:r>
        <w:rPr>
          <w:rFonts w:ascii="Times New Roman" w:hAnsi="Times New Roman"/>
        </w:rPr>
        <w:t>6. Steuerliche Würdigung (Geschäftsveräußerung im Ganzen — § 1 Ia UStG)</w:t>
      </w:r>
    </w:p>
    <w:p>
      <w:pPr>
        <w:jc w:val="left"/>
      </w:pPr>
      <w:r>
        <w:t xml:space="preserve">Da die übernommenen Assets einen lebensfähigen Betriebsteil ergeben (Software + Marken + AN + Kunden) — und der Käufer die Geschäftstätigkeit fortführen will (vgl. EuGH </w:t>
      </w:r>
      <w:r>
        <w:rPr>
          <w:b/>
        </w:rPr>
        <w:t>C-497/01 Zita Modes</w:t>
      </w:r>
      <w:r>
        <w:t xml:space="preserve"> und </w:t>
      </w:r>
      <w:r>
        <w:rPr>
          <w:b/>
        </w:rPr>
        <w:t>C-444/10 Schriever</w:t>
      </w:r>
      <w:r>
        <w:t xml:space="preserve">, Übernommen in </w:t>
      </w:r>
      <w:r>
        <w:rPr>
          <w:b/>
        </w:rPr>
        <w:t>BFH V R 11/13</w:t>
      </w:r>
      <w:r>
        <w:t xml:space="preserve"> v. 18.01.2017) — wird die Veräußerung als </w:t>
      </w:r>
      <w:r>
        <w:rPr>
          <w:b/>
        </w:rPr>
        <w:t>Geschäftsveräußerung im Ganzen</w:t>
      </w:r>
      <w:r>
        <w:t xml:space="preserve"> behandelt. Folge: </w:t>
      </w:r>
      <w:r>
        <w:rPr>
          <w:b/>
        </w:rPr>
        <w:t>kein Umsatzsteuerausweis</w:t>
      </w:r>
      <w:r>
        <w:t xml:space="preserve"> (§ 1 Ia UStG; § 15a UStG-Vorsteuerkorrektur greift, ist aber durch Übernahme der Berichtigungspflicht durch den Käufer gedeckt).</w:t>
      </w:r>
    </w:p>
    <w:p>
      <w:pPr>
        <w:jc w:val="left"/>
      </w:pPr>
      <w:r>
        <w:t xml:space="preserve">Steuerliche Stellungnahme: Steuerberater Walther Inkermann (WP Quintbeck, Berlin) — siehe </w:t>
      </w:r>
      <w:r>
        <w:t>docx/giug-stellungnahme.docx</w:t>
      </w:r>
      <w:r>
        <w:t xml:space="preserve"> (nicht beigefügt; im Datenraum).</w:t>
      </w:r>
    </w:p>
    <w:p>
      <w:pPr>
        <w:pStyle w:val="Heading2"/>
      </w:pPr>
      <w:r>
        <w:rPr>
          <w:rFonts w:ascii="Times New Roman" w:hAnsi="Times New Roman"/>
        </w:rPr>
        <w:t>7. Risiken / Red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Wirkung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DSGVO-Übertragung B2C-Daten greift nicht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EuGH-Bonprix-Standard verlangt Information; Bußgeldrisiko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siehe </w:t>
            </w:r>
            <w:r>
              <w:rPr>
                <w:rFonts w:ascii="Times New Roman" w:hAnsi="Times New Roman"/>
                <w:sz w:val="20"/>
              </w:rPr>
              <w:t>07_…</w:t>
            </w:r>
            <w:r>
              <w:rPr>
                <w:rFonts w:ascii="Times New Roman" w:hAnsi="Times New Roman"/>
                <w:sz w:val="20"/>
              </w:rPr>
              <w:t xml:space="preserve"> — strikte Anwendung Art. 14 DSGVO, Widerspruchsmöglichkeit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Mitarbeiterwiderspruch § 613a VI BGB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Verlust einzelner Schlüsselkräfte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Vorabklärung mit AN; siehe </w:t>
            </w:r>
            <w:r>
              <w:rPr>
                <w:rFonts w:ascii="Times New Roman" w:hAnsi="Times New Roman"/>
                <w:sz w:val="20"/>
              </w:rPr>
              <w:t>08_…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Markenrecht-Streit Wettbewerber „ChainSight Forensics" Hamburg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Verwechslungsfähigkeit 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DPMA-Auskunft eingeholt 02.06.2026: keine Identitäts- oder Verwechslungsfälle anhängig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GoDaddy/Cloud-Account-Transfer Bottleneck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technischer Übergabeengpass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Closing-Checkliste 10_…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Rest-Gläubiger versuchen Anfechtung Vertrags-Beendigung Asset-Deal-konstruktion (§ 132 InsO)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Mass-anrechnung Rückabwicklung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132 InsO greift nicht (Verfahrenseröffnung 01.04.2026, Vertragsabschluss nach Eröffnung — keine vorinsolvenzliche Rechtshandlung)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Käufer-Finanzierung fällt aus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 platzt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Equity-Letter 4.5 Mio. EUR Genmar Holding GmbH; Eskrow vereinbart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8. Empfehlung Verwalter</w:t>
      </w:r>
    </w:p>
    <w:p>
      <w:pPr>
        <w:jc w:val="left"/>
      </w:pPr>
      <w:r>
        <w:t>Der Asset Deal mit Voracis Ventures GmbH zu einem Kaufpreis von [400.000,00 EUR] ist gegenüber den Alternativen (Stilllegung, Einzelverwertung, Verkauf an Pebbo Code Holding ohne AN-Übernahme) wirtschaftlich überlegen und entspricht dem höchstmöglichen Verwertungsergebnis im Sinne von § 159 InsO. Der Verwalter empfiehlt dem Gläubigerausschuss, der Veräußerung gemäß § 160 II Nr. 1 InsO zuzustimmen.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