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06 — Beschlussvorlage Gläubigerausschuss (§§ 160, 162 InsO)</w:t>
      </w:r>
    </w:p>
    <w:p>
      <w:pPr>
        <w:jc w:val="left"/>
      </w:pPr>
      <w:r>
        <w:rPr>
          <w:b/>
        </w:rPr>
        <w:t>Adressat:</w:t>
      </w:r>
      <w:r>
        <w:t xml:space="preserve"> Gläubigerausschuss der ChainCortex AI GmbH, AG Charlottenburg 36 IN 1342/26</w:t>
      </w:r>
    </w:p>
    <w:p>
      <w:pPr>
        <w:jc w:val="left"/>
      </w:pPr>
      <w:r>
        <w:rPr>
          <w:b/>
        </w:rPr>
        <w:t>Verfasser:</w:t>
      </w:r>
      <w:r>
        <w:t xml:space="preserve"> RA Dr. Konrad Vorberg, Insolvenzverwalter</w:t>
      </w:r>
    </w:p>
    <w:p>
      <w:pPr>
        <w:jc w:val="left"/>
      </w:pPr>
      <w:r>
        <w:rPr>
          <w:b/>
        </w:rPr>
        <w:t>Datum:</w:t>
      </w:r>
      <w:r>
        <w:t xml:space="preserve"> 12.06.2026</w:t>
      </w:r>
    </w:p>
    <w:p>
      <w:pPr>
        <w:jc w:val="left"/>
      </w:pPr>
      <w:r>
        <w:rPr>
          <w:b/>
        </w:rPr>
        <w:t>Sitzung:</w:t>
      </w:r>
      <w:r>
        <w:t xml:space="preserve"> 17.06.2026, 10:00 Uhr, AG Charlottenburg, Saal 4188</w:t>
      </w:r>
    </w:p>
    <w:p/>
    <w:p>
      <w:pPr>
        <w:pStyle w:val="Heading2"/>
      </w:pPr>
      <w:r>
        <w:rPr>
          <w:rFonts w:ascii="Times New Roman" w:hAnsi="Times New Roman"/>
        </w:rPr>
        <w:t>I. Beschlussgegenstand</w:t>
      </w:r>
    </w:p>
    <w:p>
      <w:pPr>
        <w:jc w:val="left"/>
      </w:pPr>
      <w:r>
        <w:rPr>
          <w:b/>
        </w:rPr>
        <w:t>Veräußerung der wesentlichen, immateriellen Vermögensgegenstände der Schuldnerin</w:t>
      </w:r>
      <w:r>
        <w:t xml:space="preserve"> an die Voracis Ventures GmbH (Newco), Berlin, zu einem Kaufpreis von [400.000,00 EUR], Übernahmestichtag 01.07.2026; Vertragsentwurf liegt bei (Anlage A — siehe </w:t>
      </w:r>
      <w:r>
        <w:t>09_asset-purchase-agreement-text.md</w:t>
      </w:r>
      <w:r>
        <w:t>).</w:t>
      </w:r>
    </w:p>
    <w:p>
      <w:pPr>
        <w:jc w:val="left"/>
      </w:pPr>
      <w:r>
        <w:t xml:space="preserve">Beschlussbedürftig nach </w:t>
      </w:r>
      <w:r>
        <w:rPr>
          <w:b/>
        </w:rPr>
        <w:t>§ 160 II Nr. 1 InsO</w:t>
      </w:r>
      <w:r>
        <w:t xml:space="preserve"> (Veräußerung von Unternehmen oder wesentlichem Vermögen). Zustimmung der Gläubigerversammlung nach </w:t>
      </w:r>
      <w:r>
        <w:rPr>
          <w:b/>
        </w:rPr>
        <w:t>§ 162 I Nr. 1 InsO</w:t>
      </w:r>
      <w:r>
        <w:t xml:space="preserve"> entbehrlich, da kein Erwerb durch besonders Interessierte i. S. d. § 162 InsO vorliegt:</w:t>
      </w:r>
    </w:p>
    <w:p>
      <w:pPr>
        <w:pStyle w:val="ListBullet"/>
      </w:pPr>
      <w:r>
        <w:t xml:space="preserve">Voracis ist </w:t>
      </w:r>
      <w:r>
        <w:rPr>
          <w:b/>
        </w:rPr>
        <w:t>kein</w:t>
      </w:r>
      <w:r>
        <w:t xml:space="preserve"> Schuldnergesellschafter, </w:t>
      </w:r>
      <w:r>
        <w:rPr>
          <w:b/>
        </w:rPr>
        <w:t>kein</w:t>
      </w:r>
      <w:r>
        <w:t xml:space="preserve"> mit der Schuldnerin verbundenes Unternehmen i. S. d. § 15 AktG.</w:t>
      </w:r>
    </w:p>
    <w:p>
      <w:pPr>
        <w:pStyle w:val="ListBullet"/>
      </w:pPr>
      <w:r>
        <w:rPr>
          <w:b/>
        </w:rPr>
        <w:t>Keine</w:t>
      </w:r>
      <w:r>
        <w:t xml:space="preserve"> persönliche Beziehung der Voracis-Geschäftsführerin Dr. Hennings zum Schuldner-GF Knoebel-Brandeis (siehe Bestätigung 01_… Konfliktprüfung).</w:t>
      </w:r>
    </w:p>
    <w:p>
      <w:pPr>
        <w:pStyle w:val="ListBullet"/>
      </w:pPr>
      <w:r>
        <w:rPr>
          <w:b/>
        </w:rPr>
        <w:t>Keine</w:t>
      </w:r>
      <w:r>
        <w:t xml:space="preserve"> Vorbefassung der Verwalter-Kanzlei mit Voracis-Mandaten.</w:t>
      </w:r>
    </w:p>
    <w:p>
      <w:pPr>
        <w:jc w:val="left"/>
      </w:pPr>
      <w:r>
        <w:t xml:space="preserve">→ § 162 InsO </w:t>
      </w:r>
      <w:r>
        <w:rPr>
          <w:b/>
        </w:rPr>
        <w:t>nicht einschlägig</w:t>
      </w:r>
      <w:r>
        <w:t>, eine zusätzliche Gläubigerversammlungs-Zustimmung ist nicht erforderlich.</w:t>
      </w:r>
    </w:p>
    <w:p>
      <w:pPr>
        <w:pStyle w:val="Heading2"/>
      </w:pPr>
      <w:r>
        <w:rPr>
          <w:rFonts w:ascii="Times New Roman" w:hAnsi="Times New Roman"/>
        </w:rPr>
        <w:t>II. Wirtschaftliche Bewertung (Kurzfassung)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Wert (EUR)</w:t>
            </w:r>
          </w:p>
        </w:tc>
        <w:tc>
          <w:tcPr>
            <w:tcW w:type="dxa" w:w="3024"/>
          </w:tcPr>
          <w:p>
            <w:r>
              <w:rPr>
                <w:rFonts w:ascii="Times New Roman" w:hAnsi="Times New Roman"/>
                <w:b/>
                <w:sz w:val="20"/>
              </w:rPr>
              <w:t>Begründung</w:t>
            </w:r>
          </w:p>
        </w:tc>
      </w:tr>
      <w:tr>
        <w:tc>
          <w:tcPr>
            <w:tcW w:type="dxa" w:w="3024"/>
          </w:tcPr>
          <w:p>
            <w:r>
              <w:rPr>
                <w:rFonts w:ascii="Times New Roman" w:hAnsi="Times New Roman"/>
                <w:sz w:val="20"/>
              </w:rPr>
              <w:t>Kaufpreis</w:t>
            </w:r>
          </w:p>
        </w:tc>
        <w:tc>
          <w:tcPr>
            <w:tcW w:type="dxa" w:w="3024"/>
          </w:tcPr>
          <w:p>
            <w:r>
              <w:rPr>
                <w:rFonts w:ascii="Times New Roman" w:hAnsi="Times New Roman"/>
                <w:sz w:val="20"/>
              </w:rPr>
              <w:t>400.000</w:t>
            </w:r>
          </w:p>
        </w:tc>
        <w:tc>
          <w:tcPr>
            <w:tcW w:type="dxa" w:w="3024"/>
          </w:tcPr>
          <w:p>
            <w:r>
              <w:rPr>
                <w:rFonts w:ascii="Times New Roman" w:hAnsi="Times New Roman"/>
                <w:sz w:val="20"/>
              </w:rPr>
              <w:t>LOI Voracis 15.05.2026, Confirmatory-DD-Phase abgeschlossen</w:t>
            </w:r>
          </w:p>
        </w:tc>
      </w:tr>
      <w:tr>
        <w:tc>
          <w:tcPr>
            <w:tcW w:type="dxa" w:w="3024"/>
          </w:tcPr>
          <w:p>
            <w:r>
              <w:rPr>
                <w:rFonts w:ascii="Times New Roman" w:hAnsi="Times New Roman"/>
                <w:sz w:val="20"/>
              </w:rPr>
              <w:t>./. Verwertungskosten Asset-Deal</w:t>
            </w:r>
          </w:p>
        </w:tc>
        <w:tc>
          <w:tcPr>
            <w:tcW w:type="dxa" w:w="3024"/>
          </w:tcPr>
          <w:p>
            <w:r>
              <w:rPr>
                <w:rFonts w:ascii="Times New Roman" w:hAnsi="Times New Roman"/>
                <w:sz w:val="20"/>
              </w:rPr>
              <w:t>-38.000</w:t>
            </w:r>
          </w:p>
        </w:tc>
        <w:tc>
          <w:tcPr>
            <w:tcW w:type="dxa" w:w="3024"/>
          </w:tcPr>
          <w:p>
            <w:r>
              <w:rPr>
                <w:rFonts w:ascii="Times New Roman" w:hAnsi="Times New Roman"/>
                <w:sz w:val="20"/>
              </w:rPr>
              <w:t>Notar (Beglaubigungen), DPMA-Umschreibung, externe Steuerberatung</w:t>
            </w:r>
          </w:p>
        </w:tc>
      </w:tr>
      <w:tr>
        <w:tc>
          <w:tcPr>
            <w:tcW w:type="dxa" w:w="3024"/>
          </w:tcPr>
          <w:p>
            <w:r>
              <w:rPr>
                <w:rFonts w:ascii="Times New Roman" w:hAnsi="Times New Roman"/>
                <w:sz w:val="20"/>
              </w:rPr>
              <w:t>./. Verwaltervergütung anteilig (§ 1 II InsVV)</w:t>
            </w:r>
          </w:p>
        </w:tc>
        <w:tc>
          <w:tcPr>
            <w:tcW w:type="dxa" w:w="3024"/>
          </w:tcPr>
          <w:p>
            <w:r>
              <w:rPr>
                <w:rFonts w:ascii="Times New Roman" w:hAnsi="Times New Roman"/>
                <w:sz w:val="20"/>
              </w:rPr>
              <w:t>-ca. 64.000</w:t>
            </w:r>
          </w:p>
        </w:tc>
        <w:tc>
          <w:tcPr>
            <w:tcW w:type="dxa" w:w="3024"/>
          </w:tcPr>
          <w:p>
            <w:r>
              <w:rPr>
                <w:rFonts w:ascii="Times New Roman" w:hAnsi="Times New Roman"/>
                <w:sz w:val="20"/>
              </w:rPr>
              <w:t>regelvergütungsbasiert; Schätzung</w:t>
            </w:r>
          </w:p>
        </w:tc>
      </w:tr>
      <w:tr>
        <w:tc>
          <w:tcPr>
            <w:tcW w:type="dxa" w:w="3024"/>
          </w:tcPr>
          <w:p>
            <w:r>
              <w:rPr>
                <w:rFonts w:ascii="Times New Roman" w:hAnsi="Times New Roman"/>
                <w:sz w:val="20"/>
              </w:rPr>
              <w:t>= Nettoerlös für Verteilungsmasse</w:t>
            </w:r>
          </w:p>
        </w:tc>
        <w:tc>
          <w:tcPr>
            <w:tcW w:type="dxa" w:w="3024"/>
          </w:tcPr>
          <w:p>
            <w:r>
              <w:rPr>
                <w:rFonts w:ascii="Times New Roman" w:hAnsi="Times New Roman"/>
                <w:sz w:val="20"/>
              </w:rPr>
              <w:t>ca. 298.000</w:t>
            </w:r>
          </w:p>
        </w:tc>
        <w:tc>
          <w:tcPr>
            <w:tcW w:type="dxa" w:w="3024"/>
          </w:tcPr>
          <w:p>
            <w:r>
              <w:rPr>
                <w:rFonts w:ascii="Times New Roman" w:hAnsi="Times New Roman"/>
                <w:sz w:val="20"/>
              </w:rPr>
              <w:t>indikativ</w:t>
            </w:r>
          </w:p>
        </w:tc>
      </w:tr>
      <w:tr>
        <w:tc>
          <w:tcPr>
            <w:tcW w:type="dxa" w:w="3024"/>
          </w:tcPr>
          <w:p>
            <w:r>
              <w:rPr>
                <w:rFonts w:ascii="Times New Roman" w:hAnsi="Times New Roman"/>
                <w:b/>
                <w:sz w:val="20"/>
              </w:rPr>
              <w:t>Alternative Stilllegung Bewertung</w:t>
            </w:r>
          </w:p>
        </w:tc>
        <w:tc>
          <w:tcPr>
            <w:tcW w:type="dxa" w:w="3024"/>
          </w:tcPr>
          <w:p>
            <w:r>
              <w:rPr>
                <w:rFonts w:ascii="Times New Roman" w:hAnsi="Times New Roman"/>
                <w:sz w:val="20"/>
              </w:rPr>
              <w:t>ca. 80-110.000</w:t>
            </w:r>
          </w:p>
        </w:tc>
        <w:tc>
          <w:tcPr>
            <w:tcW w:type="dxa" w:w="3024"/>
          </w:tcPr>
          <w:p>
            <w:r>
              <w:rPr>
                <w:rFonts w:ascii="Times New Roman" w:hAnsi="Times New Roman"/>
                <w:sz w:val="20"/>
              </w:rPr>
              <w:t>nur Einzelverwertung Hardware, Domains, keine Marken-Premium</w:t>
            </w:r>
          </w:p>
        </w:tc>
      </w:tr>
    </w:tbl>
    <w:p>
      <w:pPr>
        <w:jc w:val="left"/>
      </w:pPr>
      <w:r>
        <w:rPr>
          <w:b/>
        </w:rPr>
        <w:t>Differenz zugunsten Asset Deal: 180 – 220 TEUR</w:t>
      </w:r>
      <w:r>
        <w:t xml:space="preserve"> für die Verteilungsmasse. Hinzu kommt der Sozial-/Reputationsfaktor (Erhalt von 10 Arbeitsplätzen).</w:t>
      </w:r>
    </w:p>
    <w:p>
      <w:pPr>
        <w:pStyle w:val="Heading2"/>
      </w:pPr>
      <w:r>
        <w:rPr>
          <w:rFonts w:ascii="Times New Roman" w:hAnsi="Times New Roman"/>
        </w:rPr>
        <w:t>III. Eilbedürftigkeit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Punkt</w:t>
            </w:r>
          </w:p>
        </w:tc>
        <w:tc>
          <w:tcPr>
            <w:tcW w:type="dxa" w:w="4536"/>
          </w:tcPr>
          <w:p>
            <w:r>
              <w:rPr>
                <w:rFonts w:ascii="Times New Roman" w:hAnsi="Times New Roman"/>
                <w:b/>
                <w:sz w:val="20"/>
              </w:rPr>
              <w:t>Inhalt</w:t>
            </w:r>
          </w:p>
        </w:tc>
      </w:tr>
      <w:tr>
        <w:tc>
          <w:tcPr>
            <w:tcW w:type="dxa" w:w="4536"/>
          </w:tcPr>
          <w:p>
            <w:r>
              <w:rPr>
                <w:rFonts w:ascii="Times New Roman" w:hAnsi="Times New Roman"/>
                <w:sz w:val="20"/>
              </w:rPr>
              <w:t>Cloud-Hosting Kündigung AWS</w:t>
            </w:r>
          </w:p>
        </w:tc>
        <w:tc>
          <w:tcPr>
            <w:tcW w:type="dxa" w:w="4536"/>
          </w:tcPr>
          <w:p>
            <w:r>
              <w:rPr>
                <w:rFonts w:ascii="Times New Roman" w:hAnsi="Times New Roman"/>
                <w:sz w:val="20"/>
              </w:rPr>
              <w:t>31.07.2026 ff. — ohne Übernahme stürzt der Service ab</w:t>
            </w:r>
          </w:p>
        </w:tc>
      </w:tr>
      <w:tr>
        <w:tc>
          <w:tcPr>
            <w:tcW w:type="dxa" w:w="4536"/>
          </w:tcPr>
          <w:p>
            <w:r>
              <w:rPr>
                <w:rFonts w:ascii="Times New Roman" w:hAnsi="Times New Roman"/>
                <w:sz w:val="20"/>
              </w:rPr>
              <w:t>Mitarbeitervertragslage</w:t>
            </w:r>
          </w:p>
        </w:tc>
        <w:tc>
          <w:tcPr>
            <w:tcW w:type="dxa" w:w="4536"/>
          </w:tcPr>
          <w:p>
            <w:r>
              <w:rPr>
                <w:rFonts w:ascii="Times New Roman" w:hAnsi="Times New Roman"/>
                <w:sz w:val="20"/>
              </w:rPr>
              <w:t>Zwei AN haben befristete Kündigungsfreistellung; Verlust spätestens 31.07.2026</w:t>
            </w:r>
          </w:p>
        </w:tc>
      </w:tr>
      <w:tr>
        <w:tc>
          <w:tcPr>
            <w:tcW w:type="dxa" w:w="4536"/>
          </w:tcPr>
          <w:p>
            <w:r>
              <w:rPr>
                <w:rFonts w:ascii="Times New Roman" w:hAnsi="Times New Roman"/>
                <w:sz w:val="20"/>
              </w:rPr>
              <w:t>Kunden</w:t>
            </w:r>
          </w:p>
        </w:tc>
        <w:tc>
          <w:tcPr>
            <w:tcW w:type="dxa" w:w="4536"/>
          </w:tcPr>
          <w:p>
            <w:r>
              <w:rPr>
                <w:rFonts w:ascii="Times New Roman" w:hAnsi="Times New Roman"/>
                <w:sz w:val="20"/>
              </w:rPr>
              <w:t>B2B-Kundenverträge sind bereits gekündigt, Übernahme-Verhandlungen laufen — bei Verzögerung Käufer-Reue droht</w:t>
            </w:r>
          </w:p>
        </w:tc>
      </w:tr>
      <w:tr>
        <w:tc>
          <w:tcPr>
            <w:tcW w:type="dxa" w:w="4536"/>
          </w:tcPr>
          <w:p>
            <w:r>
              <w:rPr>
                <w:rFonts w:ascii="Times New Roman" w:hAnsi="Times New Roman"/>
                <w:sz w:val="20"/>
              </w:rPr>
              <w:t>Marken-Verlängerungsfristen</w:t>
            </w:r>
          </w:p>
        </w:tc>
        <w:tc>
          <w:tcPr>
            <w:tcW w:type="dxa" w:w="4536"/>
          </w:tcPr>
          <w:p>
            <w:r>
              <w:rPr>
                <w:rFonts w:ascii="Times New Roman" w:hAnsi="Times New Roman"/>
                <w:sz w:val="20"/>
              </w:rPr>
              <w:t>Q4/2033 — nicht eilig, aber Verzicht ist Wertvernichtung</w:t>
            </w:r>
          </w:p>
        </w:tc>
      </w:tr>
      <w:tr>
        <w:tc>
          <w:tcPr>
            <w:tcW w:type="dxa" w:w="4536"/>
          </w:tcPr>
          <w:p>
            <w:r>
              <w:rPr>
                <w:rFonts w:ascii="Times New Roman" w:hAnsi="Times New Roman"/>
                <w:sz w:val="20"/>
              </w:rPr>
              <w:t>Werterhaltungs-Pflicht § 159 InsO</w:t>
            </w:r>
          </w:p>
        </w:tc>
        <w:tc>
          <w:tcPr>
            <w:tcW w:type="dxa" w:w="4536"/>
          </w:tcPr>
          <w:p>
            <w:r>
              <w:rPr>
                <w:rFonts w:ascii="Times New Roman" w:hAnsi="Times New Roman"/>
                <w:sz w:val="20"/>
              </w:rPr>
              <w:t>bei Untätigkeit Wert-Erosion (Software-Stack ohne Pflege)</w:t>
            </w:r>
          </w:p>
        </w:tc>
      </w:tr>
    </w:tbl>
    <w:p>
      <w:pPr>
        <w:pStyle w:val="Heading2"/>
      </w:pPr>
      <w:r>
        <w:rPr>
          <w:rFonts w:ascii="Times New Roman" w:hAnsi="Times New Roman"/>
        </w:rPr>
        <w:t>IV. Risiken (mit Stand 12.06.2026)</w:t>
      </w:r>
    </w:p>
    <w:p>
      <w:pPr>
        <w:pStyle w:val="ListBullet"/>
      </w:pPr>
      <w:r>
        <w:rPr>
          <w:b/>
        </w:rPr>
        <w:t>Anfechtungsrisiko §§ 129 ff. InsO:</w:t>
      </w:r>
      <w:r>
        <w:t xml:space="preserve"> keine erkennbaren Risiken — die Veräußerung erfolgt </w:t>
      </w:r>
      <w:r>
        <w:rPr>
          <w:b/>
        </w:rPr>
        <w:t>aus</w:t>
      </w:r>
      <w:r>
        <w:t xml:space="preserve"> der Masse durch den Verwalter (Verfügung post-eröffnung) und unterliegt deshalb gerade nicht der Anfechtung; § 132 InsO ist insoweit kategorisch nicht einschlägig.</w:t>
      </w:r>
    </w:p>
    <w:p>
      <w:pPr>
        <w:pStyle w:val="ListBullet"/>
      </w:pPr>
      <w:r>
        <w:rPr>
          <w:b/>
        </w:rPr>
        <w:t>Haftungsrisiko § 60 InsO (Verwalterhaftung):</w:t>
      </w:r>
      <w:r>
        <w:t xml:space="preserve"> bei dokumentierter Bieter-Gleichbehandlung und höchstpreismäßiger Auswahl als gewährleistet anzusehen. Bewertung WP Quintbeck liegt zu Gunsten der Verwertung als Asset Deal vor.</w:t>
      </w:r>
    </w:p>
    <w:p>
      <w:pPr>
        <w:pStyle w:val="ListBullet"/>
      </w:pPr>
      <w:r>
        <w:rPr>
          <w:b/>
        </w:rPr>
        <w:t>§ 25 HGB Haftung (Firmenfortführung):</w:t>
      </w:r>
      <w:r>
        <w:t xml:space="preserve"> Voracis führt die Firma nicht fort (anderer Firmenname); Haftungsausschluss nach § 25 II HGB als zusätzliche Sicherheit nicht zwingend erforderlich, aber im APA-§ 7 klargestellt.</w:t>
      </w:r>
    </w:p>
    <w:p>
      <w:pPr>
        <w:pStyle w:val="ListBullet"/>
      </w:pPr>
      <w:r>
        <w:rPr>
          <w:b/>
        </w:rPr>
        <w:t>DSGVO-Bußgeldrisiko:</w:t>
      </w:r>
      <w:r>
        <w:t xml:space="preserve"> detailliert geprüft (</w:t>
      </w:r>
      <w:r>
        <w:t>07_…</w:t>
      </w:r>
      <w:r>
        <w:t>). Mit Information nach Art. 14 DSGVO und 30-Tages-Widerspruchsfrist beherrscht.</w:t>
      </w:r>
    </w:p>
    <w:p>
      <w:pPr>
        <w:pStyle w:val="Heading2"/>
      </w:pPr>
      <w:r>
        <w:rPr>
          <w:rFonts w:ascii="Times New Roman" w:hAnsi="Times New Roman"/>
        </w:rPr>
        <w:t>V. Beschlussvorschlag</w:t>
      </w:r>
    </w:p>
    <w:p>
      <w:pPr>
        <w:ind w:left="567"/>
      </w:pPr>
      <w:r>
        <w:rPr>
          <w:b/>
          <w:i/>
        </w:rPr>
        <w:t>Der Gläubigerausschuss der ChainCortex AI GmbH i. Ins. (AG Charlottenburg 36 IN 1342/26)</w:t>
      </w:r>
    </w:p>
    <w:p>
      <w:pPr>
        <w:ind w:left="567"/>
      </w:pPr>
    </w:p>
    <w:p>
      <w:pPr>
        <w:ind w:left="567"/>
      </w:pPr>
      <w:r>
        <w:rPr>
          <w:b/>
          <w:i/>
        </w:rPr>
        <w:t>beschließt:</w:t>
      </w:r>
    </w:p>
    <w:p>
      <w:pPr>
        <w:ind w:left="567"/>
      </w:pPr>
    </w:p>
    <w:p>
      <w:pPr>
        <w:ind w:left="567"/>
      </w:pPr>
      <w:r>
        <w:rPr>
          <w:i/>
        </w:rPr>
        <w:t xml:space="preserve">Der Insolvenzverwalter, RA Dr. Konrad Vorberg, wird ermächtigt und beauftragt, die wesentlichen immateriellen Vermögensgegenstände der Schuldnerin (Software-IP, Marken, Domains, Know-how) sowie die in Anlage 2 zum Asset-Purchase-Agreement-Entwurf vom 12.06.2026 aufgeführten Arbeitsverhältnisse nach § 613a BGB an die </w:t>
      </w:r>
      <w:r>
        <w:rPr>
          <w:b/>
          <w:i/>
        </w:rPr>
        <w:t>Voracis Ventures GmbH, Berlin</w:t>
      </w:r>
      <w:r>
        <w:rPr>
          <w:i/>
        </w:rPr>
        <w:t xml:space="preserve">, zu einem Kaufpreis von </w:t>
      </w:r>
      <w:r>
        <w:rPr>
          <w:b/>
          <w:i/>
        </w:rPr>
        <w:t>400.000,00 EUR</w:t>
      </w:r>
      <w:r>
        <w:rPr>
          <w:i/>
        </w:rPr>
        <w:t xml:space="preserve"> (vierhunderttausend Euro) zu veräußern, Übernahmestichtag </w:t>
      </w:r>
      <w:r>
        <w:rPr>
          <w:b/>
          <w:i/>
        </w:rPr>
        <w:t>01.07.2026</w:t>
      </w:r>
      <w:r>
        <w:rPr>
          <w:i/>
        </w:rPr>
        <w:t>, gemäß den im Vertragsentwurf niedergelegten Bedingungen.</w:t>
      </w:r>
    </w:p>
    <w:p>
      <w:pPr>
        <w:ind w:left="567"/>
      </w:pPr>
    </w:p>
    <w:p>
      <w:pPr>
        <w:ind w:left="567"/>
      </w:pPr>
      <w:r>
        <w:rPr>
          <w:i/>
        </w:rPr>
        <w:t xml:space="preserve">Der Verwalter wird ferner ermächtigt, im Rahmen der weiteren Verhandlungen Kaufpreisanpassungen bis zu </w:t>
      </w:r>
      <w:r>
        <w:rPr>
          <w:b/>
          <w:i/>
        </w:rPr>
        <w:t>plus/minus 7,5 %</w:t>
      </w:r>
      <w:r>
        <w:rPr>
          <w:i/>
        </w:rPr>
        <w:t xml:space="preserve"> vorzunehmen, sowie redaktionelle Anpassungen am Vertragstext, soweit sie nicht die wirtschaftlichen Eckdaten verändern. Wesentliche Änderungen (insbesondere des Kaufpreises über die genannte Bandbreite hinaus, des Übernahmestichtags um mehr als 14 Kalendertage, des Übernahmeumfangs) bedürfen einer ergänzenden Beschlussfassung.</w:t>
      </w:r>
    </w:p>
    <w:p>
      <w:pPr>
        <w:ind w:left="567"/>
      </w:pPr>
    </w:p>
    <w:p>
      <w:pPr>
        <w:ind w:left="567"/>
      </w:pPr>
      <w:r>
        <w:rPr>
          <w:i/>
        </w:rPr>
        <w:t>Der Verwalter wird mit der Durchführung beauftragt.</w:t>
      </w:r>
    </w:p>
    <w:p>
      <w:pPr>
        <w:pStyle w:val="Heading2"/>
      </w:pPr>
      <w:r>
        <w:rPr>
          <w:rFonts w:ascii="Times New Roman" w:hAnsi="Times New Roman"/>
        </w:rPr>
        <w:t>VI. Abstimmungsmodalitäten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Mitglied Gläubigerausschuss</w:t>
            </w:r>
          </w:p>
        </w:tc>
        <w:tc>
          <w:tcPr>
            <w:tcW w:type="dxa" w:w="2268"/>
          </w:tcPr>
          <w:p>
            <w:r>
              <w:rPr>
                <w:rFonts w:ascii="Times New Roman" w:hAnsi="Times New Roman"/>
                <w:b/>
                <w:sz w:val="20"/>
              </w:rPr>
              <w:t>Stimmrecht</w:t>
            </w:r>
          </w:p>
        </w:tc>
        <w:tc>
          <w:tcPr>
            <w:tcW w:type="dxa" w:w="2268"/>
          </w:tcPr>
          <w:p>
            <w:r>
              <w:rPr>
                <w:rFonts w:ascii="Times New Roman" w:hAnsi="Times New Roman"/>
                <w:b/>
                <w:sz w:val="20"/>
              </w:rPr>
              <w:t>Vertretung</w:t>
            </w:r>
          </w:p>
        </w:tc>
        <w:tc>
          <w:tcPr>
            <w:tcW w:type="dxa" w:w="2268"/>
          </w:tcPr>
          <w:p>
            <w:r>
              <w:rPr>
                <w:rFonts w:ascii="Times New Roman" w:hAnsi="Times New Roman"/>
                <w:b/>
                <w:sz w:val="20"/>
              </w:rPr>
              <w:t>Ja/Nein/Enthaltung (Erwartung)</w:t>
            </w:r>
          </w:p>
        </w:tc>
      </w:tr>
      <w:tr>
        <w:tc>
          <w:tcPr>
            <w:tcW w:type="dxa" w:w="2268"/>
          </w:tcPr>
          <w:p>
            <w:r>
              <w:rPr>
                <w:rFonts w:ascii="Times New Roman" w:hAnsi="Times New Roman"/>
                <w:sz w:val="20"/>
              </w:rPr>
              <w:t>Berliner Mittelstandsbank AG (Hauptgläubiger 580 TEUR)</w:t>
            </w:r>
          </w:p>
        </w:tc>
        <w:tc>
          <w:tcPr>
            <w:tcW w:type="dxa" w:w="2268"/>
          </w:tcPr>
          <w:p>
            <w:r>
              <w:rPr>
                <w:rFonts w:ascii="Times New Roman" w:hAnsi="Times New Roman"/>
                <w:sz w:val="20"/>
              </w:rPr>
              <w:t>1</w:t>
            </w:r>
          </w:p>
        </w:tc>
        <w:tc>
          <w:tcPr>
            <w:tcW w:type="dxa" w:w="2268"/>
          </w:tcPr>
          <w:p>
            <w:r>
              <w:rPr>
                <w:rFonts w:ascii="Times New Roman" w:hAnsi="Times New Roman"/>
                <w:sz w:val="20"/>
              </w:rPr>
              <w:t>Dr. Wiebke Lostmann</w:t>
            </w:r>
          </w:p>
        </w:tc>
        <w:tc>
          <w:tcPr>
            <w:tcW w:type="dxa" w:w="2268"/>
          </w:tcPr>
          <w:p>
            <w:r>
              <w:rPr>
                <w:rFonts w:ascii="Times New Roman" w:hAnsi="Times New Roman"/>
                <w:sz w:val="20"/>
              </w:rPr>
              <w:t>Ja erwartet</w:t>
            </w:r>
          </w:p>
        </w:tc>
      </w:tr>
      <w:tr>
        <w:tc>
          <w:tcPr>
            <w:tcW w:type="dxa" w:w="2268"/>
          </w:tcPr>
          <w:p>
            <w:r>
              <w:rPr>
                <w:rFonts w:ascii="Times New Roman" w:hAnsi="Times New Roman"/>
                <w:sz w:val="20"/>
              </w:rPr>
              <w:t>AN-Vertretung (12 AN)</w:t>
            </w:r>
          </w:p>
        </w:tc>
        <w:tc>
          <w:tcPr>
            <w:tcW w:type="dxa" w:w="2268"/>
          </w:tcPr>
          <w:p>
            <w:r>
              <w:rPr>
                <w:rFonts w:ascii="Times New Roman" w:hAnsi="Times New Roman"/>
                <w:sz w:val="20"/>
              </w:rPr>
              <w:t>1</w:t>
            </w:r>
          </w:p>
        </w:tc>
        <w:tc>
          <w:tcPr>
            <w:tcW w:type="dxa" w:w="2268"/>
          </w:tcPr>
          <w:p>
            <w:r>
              <w:rPr>
                <w:rFonts w:ascii="Times New Roman" w:hAnsi="Times New Roman"/>
                <w:sz w:val="20"/>
              </w:rPr>
              <w:t>Kollegen Sigurd Brammen (zuvor Senior-Engineer)</w:t>
            </w:r>
          </w:p>
        </w:tc>
        <w:tc>
          <w:tcPr>
            <w:tcW w:type="dxa" w:w="2268"/>
          </w:tcPr>
          <w:p>
            <w:r>
              <w:rPr>
                <w:rFonts w:ascii="Times New Roman" w:hAnsi="Times New Roman"/>
                <w:sz w:val="20"/>
              </w:rPr>
              <w:t>Ja erwartet</w:t>
            </w:r>
          </w:p>
        </w:tc>
      </w:tr>
      <w:tr>
        <w:tc>
          <w:tcPr>
            <w:tcW w:type="dxa" w:w="2268"/>
          </w:tcPr>
          <w:p>
            <w:r>
              <w:rPr>
                <w:rFonts w:ascii="Times New Roman" w:hAnsi="Times New Roman"/>
                <w:sz w:val="20"/>
              </w:rPr>
              <w:t>Finanzamt Berlin-Mitte (LSt-Forderung 84 TEUR)</w:t>
            </w:r>
          </w:p>
        </w:tc>
        <w:tc>
          <w:tcPr>
            <w:tcW w:type="dxa" w:w="2268"/>
          </w:tcPr>
          <w:p>
            <w:r>
              <w:rPr>
                <w:rFonts w:ascii="Times New Roman" w:hAnsi="Times New Roman"/>
                <w:sz w:val="20"/>
              </w:rPr>
              <w:t>1</w:t>
            </w:r>
          </w:p>
        </w:tc>
        <w:tc>
          <w:tcPr>
            <w:tcW w:type="dxa" w:w="2268"/>
          </w:tcPr>
          <w:p>
            <w:r>
              <w:rPr>
                <w:rFonts w:ascii="Times New Roman" w:hAnsi="Times New Roman"/>
                <w:sz w:val="20"/>
              </w:rPr>
              <w:t>Frau Oberregierungsrätin Helene von Quitzow</w:t>
            </w:r>
          </w:p>
        </w:tc>
        <w:tc>
          <w:tcPr>
            <w:tcW w:type="dxa" w:w="2268"/>
          </w:tcPr>
          <w:p>
            <w:r>
              <w:rPr>
                <w:rFonts w:ascii="Times New Roman" w:hAnsi="Times New Roman"/>
                <w:sz w:val="20"/>
              </w:rPr>
              <w:t>enthaltung wahrscheinlich (FA stimmt traditionell nicht zu Verwertungen)</w:t>
            </w:r>
          </w:p>
        </w:tc>
      </w:tr>
      <w:tr>
        <w:tc>
          <w:tcPr>
            <w:tcW w:type="dxa" w:w="2268"/>
          </w:tcPr>
          <w:p>
            <w:r>
              <w:rPr>
                <w:rFonts w:ascii="Times New Roman" w:hAnsi="Times New Roman"/>
                <w:sz w:val="20"/>
              </w:rPr>
              <w:t>Pebbo Immo GmbH (Vermieter, ca. 22 TEUR Forderung)</w:t>
            </w:r>
          </w:p>
        </w:tc>
        <w:tc>
          <w:tcPr>
            <w:tcW w:type="dxa" w:w="2268"/>
          </w:tcPr>
          <w:p>
            <w:r>
              <w:rPr>
                <w:rFonts w:ascii="Times New Roman" w:hAnsi="Times New Roman"/>
                <w:sz w:val="20"/>
              </w:rPr>
              <w:t>1</w:t>
            </w:r>
          </w:p>
        </w:tc>
        <w:tc>
          <w:tcPr>
            <w:tcW w:type="dxa" w:w="2268"/>
          </w:tcPr>
          <w:p>
            <w:r>
              <w:rPr>
                <w:rFonts w:ascii="Times New Roman" w:hAnsi="Times New Roman"/>
                <w:sz w:val="20"/>
              </w:rPr>
              <w:t>Geschäftsführer Friedrich Pebbo</w:t>
            </w:r>
          </w:p>
        </w:tc>
        <w:tc>
          <w:tcPr>
            <w:tcW w:type="dxa" w:w="2268"/>
          </w:tcPr>
          <w:p>
            <w:r>
              <w:rPr>
                <w:rFonts w:ascii="Times New Roman" w:hAnsi="Times New Roman"/>
                <w:sz w:val="20"/>
              </w:rPr>
              <w:t>Ja erwartet</w:t>
            </w:r>
          </w:p>
        </w:tc>
      </w:tr>
      <w:tr>
        <w:tc>
          <w:tcPr>
            <w:tcW w:type="dxa" w:w="2268"/>
          </w:tcPr>
          <w:p>
            <w:r>
              <w:rPr>
                <w:rFonts w:ascii="Times New Roman" w:hAnsi="Times New Roman"/>
                <w:b/>
                <w:sz w:val="20"/>
              </w:rPr>
              <w:t>Stimmen insgesamt</w:t>
            </w:r>
          </w:p>
        </w:tc>
        <w:tc>
          <w:tcPr>
            <w:tcW w:type="dxa" w:w="2268"/>
          </w:tcPr>
          <w:p>
            <w:r>
              <w:rPr>
                <w:rFonts w:ascii="Times New Roman" w:hAnsi="Times New Roman"/>
                <w:b/>
                <w:sz w:val="20"/>
              </w:rPr>
              <w:t>4</w:t>
            </w:r>
          </w:p>
        </w:tc>
        <w:tc>
          <w:tcPr>
            <w:tcW w:type="dxa" w:w="2268"/>
          </w:tcPr>
          <w:p/>
        </w:tc>
        <w:tc>
          <w:tcPr>
            <w:tcW w:type="dxa" w:w="2268"/>
          </w:tcPr>
          <w:p>
            <w:r>
              <w:rPr>
                <w:rFonts w:ascii="Times New Roman" w:hAnsi="Times New Roman"/>
                <w:sz w:val="20"/>
              </w:rPr>
              <w:t>benötigt: Mehrheit der Köpfe (§ 72 InsO i. V. m. Geschäftsordnung GA)</w:t>
            </w:r>
          </w:p>
        </w:tc>
      </w:tr>
    </w:tbl>
    <w:p>
      <w:pPr>
        <w:pStyle w:val="Heading2"/>
      </w:pPr>
      <w:r>
        <w:rPr>
          <w:rFonts w:ascii="Times New Roman" w:hAnsi="Times New Roman"/>
        </w:rPr>
        <w:t>VII. Anlagen</w:t>
      </w:r>
    </w:p>
    <w:p>
      <w:pPr>
        <w:pStyle w:val="ListBullet"/>
      </w:pPr>
      <w:r>
        <w:t xml:space="preserve">Anlage A: Asset-Purchase-Agreement-Entwurf vom 12.06.2026 (Az. </w:t>
      </w:r>
      <w:r>
        <w:t>09_…</w:t>
      </w:r>
      <w:r>
        <w:t>)</w:t>
      </w:r>
    </w:p>
    <w:p>
      <w:pPr>
        <w:pStyle w:val="ListBullet"/>
      </w:pPr>
      <w:r>
        <w:t xml:space="preserve">Anlage B: DD-Kurzbericht vom 12.06.2026 (Az. </w:t>
      </w:r>
      <w:r>
        <w:t>05_…</w:t>
      </w:r>
      <w:r>
        <w:t>)</w:t>
      </w:r>
    </w:p>
    <w:p>
      <w:pPr>
        <w:pStyle w:val="ListBullet"/>
      </w:pPr>
      <w:r>
        <w:t xml:space="preserve">Anlage C: Bieter-Vergleichstabelle (Az. </w:t>
      </w:r>
      <w:r>
        <w:t>03_…</w:t>
      </w:r>
      <w:r>
        <w:t>)</w:t>
      </w:r>
    </w:p>
    <w:p>
      <w:pPr>
        <w:pStyle w:val="ListBullet"/>
      </w:pPr>
      <w:r>
        <w:t xml:space="preserve">Anlage D: Asset-Inventur, Kundendaten-B2B und -B2C (Az. </w:t>
      </w:r>
      <w:r>
        <w:t>xlsx/</w:t>
      </w:r>
      <w:r>
        <w:t>)</w:t>
      </w:r>
    </w:p>
    <w:p>
      <w:pPr>
        <w:pStyle w:val="ListBullet"/>
      </w:pPr>
      <w:r>
        <w:t>Anlage E: § 60-InsO-Pflichtverletzungs-Risikomatrix (intern, nicht beigefügt)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