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Kundendaten — DSGVO-Risikoanalyse (B2B vs. B2C)</w:t>
      </w:r>
    </w:p>
    <w:p>
      <w:pPr>
        <w:ind w:left="567"/>
      </w:pPr>
      <w:r>
        <w:rPr>
          <w:i/>
        </w:rPr>
        <w:t>Auftrag: Prüfung, unter welchen Voraussetzungen die Kundendaten der Schuldnerin im Asset Deal an die Voracis Ventures GmbH übertragen werden dürfen. Ergebnisrelevant für APA-§ 2 (Kaufgegenstände) und das Anschreiben Privatkunden. Verfasst durch RAin Beate Lottberg, gegengeprüft durch externen Datenschutzbeauftragten Dr. Heiko Manderscheid (Voracis-Seite), Datum 14.06.2026.</w:t>
      </w:r>
    </w:p>
    <w:p>
      <w:pPr>
        <w:pStyle w:val="Heading2"/>
      </w:pPr>
      <w:r>
        <w:rPr>
          <w:rFonts w:ascii="Times New Roman" w:hAnsi="Times New Roman"/>
        </w:rPr>
        <w:t>1. Sachverhalt der Kundendaten</w:t>
      </w:r>
    </w:p>
    <w:p>
      <w:pPr>
        <w:jc w:val="left"/>
      </w:pPr>
      <w:r>
        <w:t>Die Schuldnerin betrieb das SaaS-Produkt „ChainCortex Compliance Engine" mit zwei klar abgrenzbaren Kundenklassen:</w:t>
      </w:r>
    </w:p>
    <w:p>
      <w:pPr>
        <w:pStyle w:val="ListBullet"/>
      </w:pPr>
      <w:r>
        <w:rPr>
          <w:b/>
        </w:rPr>
        <w:t>Business-Tarif</w:t>
      </w:r>
      <w:r>
        <w:t xml:space="preserve"> (12 Verträge): juristische Personen — siehe </w:t>
      </w:r>
      <w:r>
        <w:t>xlsx/kundendaten-business.xlsx</w:t>
      </w:r>
      <w:r>
        <w:t>. Datenfelder: Firmenname, Anschrift, Branche, Ansprechpartner (Vor-/Nachname, dienstliche E-Mail, Funktion), Vertragsdaten.</w:t>
      </w:r>
    </w:p>
    <w:p>
      <w:pPr>
        <w:pStyle w:val="ListBullet"/>
      </w:pPr>
      <w:r>
        <w:rPr>
          <w:b/>
        </w:rPr>
        <w:t>Privat-/Freemium-Tarif</w:t>
      </w:r>
      <w:r>
        <w:t xml:space="preserve"> (8 Verträge): natürliche Personen — siehe </w:t>
      </w:r>
      <w:r>
        <w:t>xlsx/kundendaten-privat.xlsx</w:t>
      </w:r>
      <w:r>
        <w:t>. Datenfelder: Klar-Vor- und -Nachname, private E-Mail, Anschrift (privat), Geburtsjahr (für KYC light), Sprachpräferenz, Vertragsdaten.</w:t>
      </w:r>
    </w:p>
    <w:p>
      <w:pPr>
        <w:pStyle w:val="Heading2"/>
      </w:pPr>
      <w:r>
        <w:rPr>
          <w:rFonts w:ascii="Times New Roman" w:hAnsi="Times New Roman"/>
        </w:rPr>
        <w:t>2. Maßgebliche Rechtsgrundlagen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Anwendbar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 Nr. 1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Personenbezogene 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B2C voll; B2B-Ansprechpartner-Daten teilweise (EDPB Guidelines 03/2022)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 Nr. 2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„Verarbeitung" — auch Übermittlung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der Asset Deal ist eine Übermittlung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 Nr. 9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„Empfänger"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ist Empfänger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I lit. f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berechtigtes Interesse als 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grundsätzlich ja, aber strenges Abwägungsergebnis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13/14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Art. 14 (Daten nicht direkt vom Betroffenen erhoben durch Voracis)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28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Auftragsverarbeitung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nicht einschlägig — Voracis wird </w:t>
            </w:r>
            <w:r>
              <w:rPr>
                <w:rFonts w:ascii="Times New Roman" w:hAnsi="Times New Roman"/>
                <w:b/>
                <w:sz w:val="20"/>
              </w:rPr>
              <w:t>Verantwortlicher</w:t>
            </w:r>
            <w:r>
              <w:rPr>
                <w:rFonts w:ascii="Times New Roman" w:hAnsi="Times New Roman"/>
                <w:sz w:val="20"/>
              </w:rPr>
              <w:t>, nicht AV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 BDSG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Beschäftigtendaten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für AN-Daten relevant — separat in </w:t>
            </w:r>
            <w:r>
              <w:rPr>
                <w:rFonts w:ascii="Times New Roman" w:hAnsi="Times New Roman"/>
                <w:sz w:val="20"/>
              </w:rPr>
              <w:t>08_…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TTDSG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Cookies/Endeinrichtungs-Zugriff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direkt relevant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Maßgebliche Rechtsprechung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 für Asset Deal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EuGH </w:t>
            </w:r>
            <w:r>
              <w:rPr>
                <w:rFonts w:ascii="Times New Roman" w:hAnsi="Times New Roman"/>
                <w:b/>
                <w:sz w:val="20"/>
              </w:rPr>
              <w:t>C-732/22</w:t>
            </w:r>
            <w:r>
              <w:rPr>
                <w:rFonts w:ascii="Times New Roman" w:hAnsi="Times New Roman"/>
                <w:sz w:val="20"/>
              </w:rPr>
              <w:t xml:space="preserve"> (Bonprix, Urt. v. 26.09.2024)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Personenbezogene Daten aus Asset Deal — Rechtsgrundlage Art. 6 I lit. f DSGVO grundsätzlich denkbar, aber strenger Maßstab bei der Interessenabwägung; Informationspflicht nach Art. 14 zwingend; Widerspruchsmöglichkeit unverzichtbar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Leitentscheidung</w:t>
            </w:r>
            <w:r>
              <w:rPr>
                <w:rFonts w:ascii="Times New Roman" w:hAnsi="Times New Roman"/>
                <w:sz w:val="20"/>
              </w:rPr>
              <w:t>, daran ist sich auszurichten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EuGH </w:t>
            </w:r>
            <w:r>
              <w:rPr>
                <w:rFonts w:ascii="Times New Roman" w:hAnsi="Times New Roman"/>
                <w:b/>
                <w:sz w:val="20"/>
              </w:rPr>
              <w:t>C-621/22</w:t>
            </w:r>
            <w:r>
              <w:rPr>
                <w:rFonts w:ascii="Times New Roman" w:hAnsi="Times New Roman"/>
                <w:sz w:val="20"/>
              </w:rPr>
              <w:t xml:space="preserve"> (Koninklijke Nederlandse Lawn Tennisbond, Urt. v. 04.10.2024)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„Berechtigtes Interesse" auch wirtschaftlich; aber konkrete Erforderlichkeit + Interessenabwägung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bestätigt Linie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EuGH </w:t>
            </w:r>
            <w:r>
              <w:rPr>
                <w:rFonts w:ascii="Times New Roman" w:hAnsi="Times New Roman"/>
                <w:b/>
                <w:sz w:val="20"/>
              </w:rPr>
              <w:t>C-184/20</w:t>
            </w:r>
            <w:r>
              <w:rPr>
                <w:rFonts w:ascii="Times New Roman" w:hAnsi="Times New Roman"/>
                <w:sz w:val="20"/>
              </w:rPr>
              <w:t xml:space="preserve"> (Vyriausioji tarnybinės etikos komisija)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Verarbeitung „sensibler" Daten erhöhte Anforderungen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hier nicht einschlägig (keine besonderen Kategorien)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Düsseldorf 16. ZS, 23.11.2023 — VI-W (Kart) 4/22 (DSGVO im Asset Deal)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Übermittlung im Asset Deal grundsätzlich zulässig, aber „informierte Übertragung" mit echter Widerspruchsmöglichkeit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bestätigt Praxis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BfDI-Stellungnahme „Asset Deals mit personenbezogenen Daten" v. 12.02.2024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Empfehlung: Information vor Übermittlung, 30-Tage-Widerspruchsfrist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Best Practice; im APA und in </w:t>
            </w:r>
            <w:r>
              <w:rPr>
                <w:rFonts w:ascii="Times New Roman" w:hAnsi="Times New Roman"/>
                <w:sz w:val="20"/>
              </w:rPr>
              <w:t>eml/…</w:t>
            </w:r>
            <w:r>
              <w:rPr>
                <w:rFonts w:ascii="Times New Roman" w:hAnsi="Times New Roman"/>
                <w:sz w:val="20"/>
              </w:rPr>
              <w:t xml:space="preserve"> berücksichtigt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B2B — Bewertung</w:t>
      </w:r>
    </w:p>
    <w:p>
      <w:pPr>
        <w:jc w:val="left"/>
      </w:pPr>
      <w:r>
        <w:t xml:space="preserve">Reine Firmendaten (juristische Personen, Firmenname, Anschrift) sind </w:t>
      </w:r>
      <w:r>
        <w:rPr>
          <w:b/>
        </w:rPr>
        <w:t>keine personenbezogenen Daten</w:t>
      </w:r>
      <w:r>
        <w:t xml:space="preserve"> i. S. d. Art. 4 Nr. 1 DSGVO. Die dazu erfassten Ansprechpartner-Daten (Vor-/Nachname, dienstliche E-Mail, Funktion) sind jedoch </w:t>
      </w:r>
      <w:r>
        <w:rPr>
          <w:b/>
        </w:rPr>
        <w:t>personenbezogen</w:t>
      </w:r>
      <w:r>
        <w:t>. Dafür gilt:</w:t>
      </w:r>
    </w:p>
    <w:p>
      <w:pPr>
        <w:pStyle w:val="ListBullet"/>
      </w:pPr>
      <w:r>
        <w:t>Rechtsgrundlage: Art. 6 I lit. f DSGVO + § 28 BDSG entfällt seit 2018, jetzt vollständig DSGVO.</w:t>
      </w:r>
    </w:p>
    <w:p>
      <w:pPr>
        <w:pStyle w:val="ListBullet"/>
      </w:pPr>
      <w:r>
        <w:t xml:space="preserve">Interessenabwägung: Übermittlung dient der </w:t>
      </w:r>
      <w:r>
        <w:rPr>
          <w:b/>
        </w:rPr>
        <w:t>Fortführung der Geschäftsbeziehung</w:t>
      </w:r>
      <w:r>
        <w:t xml:space="preserve"> im Sinne und Interesse des Kunden; Auftraggeber-Ansprechpartner haben typischerweise eine geringere Schutzbedarfslage (Daten erscheinen ohnehin auf Visitenkarten, in Signaturen).</w:t>
      </w:r>
    </w:p>
    <w:p>
      <w:pPr>
        <w:pStyle w:val="ListBullet"/>
      </w:pPr>
      <w:r>
        <w:t xml:space="preserve">Information nach Art. 14 DSGVO: trotzdem zwingend (E-Mail-Vorlage in </w:t>
      </w:r>
      <w:r>
        <w:t>eml/dsgvo-information-b2b-ansprechpartner.eml</w:t>
      </w:r>
      <w:r>
        <w:t>).</w:t>
      </w:r>
    </w:p>
    <w:p>
      <w:pPr>
        <w:pStyle w:val="ListBullet"/>
      </w:pPr>
      <w:r>
        <w:t>Widerspruchsmöglichkeit: ja, aber wird typischerweise nicht ausgeübt.</w:t>
      </w:r>
    </w:p>
    <w:p>
      <w:pPr>
        <w:jc w:val="left"/>
      </w:pPr>
      <w:r>
        <w:rPr>
          <w:b/>
        </w:rPr>
        <w:t>Ergebnis B2B:</w:t>
      </w:r>
      <w:r>
        <w:t xml:space="preserve"> Übertragung im APA ohne Widerspruchsfrist möglich; Information nach Art. 14 DSGVO begleitend.</w:t>
      </w:r>
    </w:p>
    <w:p>
      <w:pPr>
        <w:pStyle w:val="Heading2"/>
      </w:pPr>
      <w:r>
        <w:rPr>
          <w:rFonts w:ascii="Times New Roman" w:hAnsi="Times New Roman"/>
        </w:rPr>
        <w:t>5. B2C — Bewertung</w:t>
      </w:r>
    </w:p>
    <w:p>
      <w:pPr>
        <w:jc w:val="left"/>
      </w:pPr>
      <w:r>
        <w:t>Die 8 Privatkunden sind eindeutige Betroffene. Übermittlung an Voracis ist Verarbeitung i. S. d. Art. 4 Nr. 2 DSGVO. Folgendes Vorgehen:</w:t>
      </w:r>
    </w:p>
    <w:p>
      <w:pPr>
        <w:pStyle w:val="Heading3"/>
      </w:pPr>
      <w:r>
        <w:rPr>
          <w:rFonts w:ascii="Times New Roman" w:hAnsi="Times New Roman"/>
        </w:rPr>
        <w:t>5.1 Rechtsgrundlage Art. 6 I lit. f DSGVO</w:t>
      </w:r>
    </w:p>
    <w:p>
      <w:pPr>
        <w:jc w:val="left"/>
      </w:pPr>
      <w:r>
        <w:rPr>
          <w:b/>
        </w:rPr>
        <w:t>Interessenabwägung:</w:t>
      </w:r>
    </w:p>
    <w:p>
      <w:pPr>
        <w:pStyle w:val="ListBullet"/>
      </w:pPr>
      <w:r>
        <w:t>Voracis-Interesse: Geschäftsfortführung, Wert der erworbenen Kundenbasis. EuGH C-732/22: wirtschaftliches Interesse anerkannt.</w:t>
      </w:r>
    </w:p>
    <w:p>
      <w:pPr>
        <w:pStyle w:val="ListBullet"/>
      </w:pPr>
      <w:r>
        <w:t>Betroffenen-Interesse: Schutz vor unkontrollierter Datenübermittlung. Hier in mitigierter Form: a) gleicher Vertragsgegenstand, b) gleiche Datennutzung, c) Voracis ist DSGVO-konform organisiert (Datenschutzbeauftragter, DPIA vom 10.06.2026, Stellungnahme 2-seitig).</w:t>
      </w:r>
    </w:p>
    <w:p>
      <w:pPr>
        <w:pStyle w:val="ListBullet"/>
      </w:pPr>
      <w:r>
        <w:rPr>
          <w:b/>
        </w:rPr>
        <w:t>Erforderlichkeit:</w:t>
      </w:r>
      <w:r>
        <w:t xml:space="preserve"> Ohne Datenübernahme stürzt der Service der 8 Privatkunden ab → Service-Verlust. Datenübernahme ist erforderlich, mildere Mittel nicht praktikabel.</w:t>
      </w:r>
    </w:p>
    <w:p>
      <w:pPr>
        <w:pStyle w:val="ListBullet"/>
      </w:pPr>
      <w:r>
        <w:rPr>
          <w:b/>
        </w:rPr>
        <w:t>Strikte Zweckbindung:</w:t>
      </w:r>
      <w:r>
        <w:t xml:space="preserve"> Voracis verarbeitet die Daten ausschließlich für die Fortführung des bestehenden Vertragsverhältnisses; keine Profilierung, kein Marketing ohne separate Einwilligung.</w:t>
      </w:r>
    </w:p>
    <w:p>
      <w:pPr>
        <w:pStyle w:val="Heading3"/>
      </w:pPr>
      <w:r>
        <w:rPr>
          <w:rFonts w:ascii="Times New Roman" w:hAnsi="Times New Roman"/>
        </w:rPr>
        <w:t>5.2 Information nach Art. 14 DSGVO</w:t>
      </w:r>
    </w:p>
    <w:p>
      <w:pPr>
        <w:jc w:val="left"/>
      </w:pPr>
      <w:r>
        <w:t xml:space="preserve">Schreiben an alle 8 Privatkunden bis spätestens </w:t>
      </w:r>
      <w:r>
        <w:rPr>
          <w:b/>
        </w:rPr>
        <w:t>20.06.2026</w:t>
      </w:r>
      <w:r>
        <w:t xml:space="preserve"> (1 Monat vor Übernahmestichtag), gemeinsam unterzeichnet von Schuldner-Vertreter (Verwalter) und Käufer-Verantwortlichem (Voracis-DSB Manderscheid). Inhalt:</w:t>
      </w:r>
    </w:p>
    <w:p>
      <w:pPr>
        <w:pStyle w:val="ListNumber"/>
      </w:pPr>
      <w:r>
        <w:t>Identität des neuen Verantwortlichen (Voracis Ventures GmbH, Anschrift, DSB-Kontakt).</w:t>
      </w:r>
    </w:p>
    <w:p>
      <w:pPr>
        <w:pStyle w:val="ListNumber"/>
      </w:pPr>
      <w:r>
        <w:t>Kategorien betroffener Daten.</w:t>
      </w:r>
    </w:p>
    <w:p>
      <w:pPr>
        <w:pStyle w:val="ListNumber"/>
      </w:pPr>
      <w:r>
        <w:t>Rechtsgrundlage Art. 6 I lit. f DSGVO sowie Hinweis auf Interessenabwägung.</w:t>
      </w:r>
    </w:p>
    <w:p>
      <w:pPr>
        <w:pStyle w:val="ListNumber"/>
      </w:pPr>
      <w:r>
        <w:t>Empfänger (keine Drittübermittlungen außerhalb des Datenraums).</w:t>
      </w:r>
    </w:p>
    <w:p>
      <w:pPr>
        <w:pStyle w:val="ListNumber"/>
      </w:pPr>
      <w:r>
        <w:t>Speicherdauer.</w:t>
      </w:r>
    </w:p>
    <w:p>
      <w:pPr>
        <w:pStyle w:val="ListNumber"/>
      </w:pPr>
      <w:r>
        <w:t xml:space="preserve">Rechte: Auskunft (Art. 15), Berichtigung (Art. 16), Löschung (Art. 17), Einschränkung (Art. 18), Datenübertragbarkeit (Art. 20), </w:t>
      </w:r>
      <w:r>
        <w:rPr>
          <w:b/>
        </w:rPr>
        <w:t>Widerspruch (Art. 21)</w:t>
      </w:r>
      <w:r>
        <w:t>, Beschwerde bei Aufsichtsbehörde (Art. 77).</w:t>
      </w:r>
    </w:p>
    <w:p>
      <w:pPr>
        <w:pStyle w:val="ListNumber"/>
      </w:pPr>
      <w:r>
        <w:t>Quelle der Daten (Schuldnerin ChainCortex AI GmbH i. Ins.).</w:t>
      </w:r>
    </w:p>
    <w:p>
      <w:pPr>
        <w:pStyle w:val="ListNumber"/>
      </w:pPr>
      <w:r>
        <w:rPr>
          <w:b/>
        </w:rPr>
        <w:t>Widerspruchsfrist 30 Kalendertage</w:t>
      </w:r>
      <w:r>
        <w:t xml:space="preserve"> (bis 20.07.2026 inkl.). Bei Widerspruch: Datenlöschung durch Voracis innerhalb von 7 Werktagen, vorab Datenexport für Betroffenen ermöglicht.</w:t>
      </w:r>
    </w:p>
    <w:p>
      <w:pPr>
        <w:jc w:val="left"/>
      </w:pPr>
      <w:r>
        <w:t xml:space="preserve">E-Mail-Entwurf siehe </w:t>
      </w:r>
      <w:r>
        <w:t>eml/dsgvo-information-b2c-privatkunden-entwurf.eml</w:t>
      </w:r>
      <w:r>
        <w:t>. Postversand parallel (für Anschriftenpflege).</w:t>
      </w:r>
    </w:p>
    <w:p>
      <w:pPr>
        <w:pStyle w:val="Heading3"/>
      </w:pPr>
      <w:r>
        <w:rPr>
          <w:rFonts w:ascii="Times New Roman" w:hAnsi="Times New Roman"/>
        </w:rPr>
        <w:t>5.3 Vertragsklausel APA</w:t>
      </w:r>
    </w:p>
    <w:p>
      <w:pPr>
        <w:jc w:val="left"/>
      </w:pPr>
      <w:r>
        <w:t xml:space="preserve">In den Asset-Purchase-Agreement-Text wird in </w:t>
      </w:r>
      <w:r>
        <w:rPr>
          <w:b/>
        </w:rPr>
        <w:t>§ 2 Abs. 4</w:t>
      </w:r>
      <w:r>
        <w:t xml:space="preserve"> explizit aufgenommen, dass die Übertragung der Kundendaten erst nach Ablauf der 30-Tages-Widerspruchsfrist abgeschlossen ist und der Käufer die widersprechenden Betroffenen unverzüglich aus dem CRM-System löscht; Verwalter haftet nicht für nachträgliche Löschungsfolgen.</w:t>
      </w:r>
    </w:p>
    <w:p>
      <w:pPr>
        <w:pStyle w:val="Heading2"/>
      </w:pPr>
      <w:r>
        <w:rPr>
          <w:rFonts w:ascii="Times New Roman" w:hAnsi="Times New Roman"/>
        </w:rPr>
        <w:t>6. Beschäftigtendaten (AN-Übergang)</w:t>
      </w:r>
    </w:p>
    <w:p>
      <w:pPr>
        <w:jc w:val="left"/>
      </w:pPr>
      <w:r>
        <w:t xml:space="preserve">§ 26 BDSG i. V. m. § 613a BGB: Datentransfer im Rahmen des Betriebsübergangs ist erforderlich für die Begründung des neuen Arbeitsverhältnisses und § 26 I 1 BDSG-konform. Informationspflicht aus § 13 BDSG erfüllt durch die § 613a V BGB-Unterrichtung (siehe </w:t>
      </w:r>
      <w:r>
        <w:t>08_…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7. Ergebnis und Risikoampel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Komponente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Übertragung B2B-Firmendaten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personenbezogenen Daten; Ansprechpartner-Übermittlung gerechtfertigt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Übertragung B2B-Ansprechpartner-Daten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I lit. f DSGVO, Information nach Art. 14 ausreichend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Übertragung B2C-Privatkunden-Daten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🟠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I lit. f möglich, aber zwingend 30-Tages-Widerspruchsfrist + Art. 14-Info; Bußgeldrisiko bei Verzicht: Art. 83 IV DSGVO bis 10 Mio. EUR oder 2 % Konzernumsatz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AN-Daten (10 Übergänge)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 BDSG + § 613a BGB; mit § 613a V-Schreiben 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Cookies / Tracking-Daten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wurden nicht im SaaS gesetzt; nicht Asset-Deal-Gegenstand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8. Drei vorbehaltliche Schlussempfehlungen</w:t>
      </w:r>
    </w:p>
    <w:p>
      <w:pPr>
        <w:pStyle w:val="ListNumber"/>
      </w:pPr>
      <w:r>
        <w:rPr>
          <w:b/>
        </w:rPr>
        <w:t>Vertragsklausel</w:t>
      </w:r>
      <w:r>
        <w:t xml:space="preserve"> zur 30-Tages-Widerspruchsfrist im APA aufnehmen — siehe </w:t>
      </w:r>
      <w:r>
        <w:t>09_…</w:t>
      </w:r>
      <w:r>
        <w:t xml:space="preserve"> § 2 Abs. 4.</w:t>
      </w:r>
    </w:p>
    <w:p>
      <w:pPr>
        <w:pStyle w:val="ListNumber"/>
      </w:pPr>
      <w:r>
        <w:rPr>
          <w:b/>
        </w:rPr>
        <w:t>Information</w:t>
      </w:r>
      <w:r>
        <w:t xml:space="preserve"> an alle Betroffenen (B2B-Ansprechpartner + B2C) bis 20.06.2026 versenden.</w:t>
      </w:r>
    </w:p>
    <w:p>
      <w:pPr>
        <w:pStyle w:val="ListNumber"/>
      </w:pPr>
      <w:r>
        <w:rPr>
          <w:b/>
        </w:rPr>
        <w:t>Voracis-DPIA</w:t>
      </w:r>
      <w:r>
        <w:t xml:space="preserve"> (Datenschutz-Folgenabschätzung, Art. 35 DSGVO) zur Personenkundendaten-Übernahme dokumentieren und im Verzeichnis von Verarbeitungstätigkeiten (Art. 30 DSGVO) eintragen — vor dem Übernahmestichtag.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