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Betriebsübergang § 613a BGB</w:t>
      </w:r>
    </w:p>
    <w:p>
      <w:pPr>
        <w:ind w:left="567"/>
      </w:pPr>
      <w:r>
        <w:rPr>
          <w:i/>
        </w:rPr>
        <w:t>Auftrag: Vorbereitung des Betriebsübergangs für die 10 von 12 Arbeitsverhältnissen, die im Asset Deal übernommen werden sollen. Verfasst durch RAin Cornelie Eppenstedt (Fachanwältin Arbeitsrecht), Datum 14.06.2026.</w:t>
      </w:r>
    </w:p>
    <w:p>
      <w:pPr>
        <w:pStyle w:val="Heading2"/>
      </w:pPr>
      <w:r>
        <w:rPr>
          <w:rFonts w:ascii="Times New Roman" w:hAnsi="Times New Roman"/>
        </w:rPr>
        <w:t>1. Tatbestandliche Voraussetzungen § 613a I 1 BGB</w:t>
      </w:r>
    </w:p>
    <w:p>
      <w:pPr>
        <w:jc w:val="left"/>
      </w:pPr>
      <w:r>
        <w:t xml:space="preserve">Ein Betriebsübergang setzt voraus, dass eine </w:t>
      </w:r>
      <w:r>
        <w:rPr>
          <w:b/>
        </w:rPr>
        <w:t>wirtschaftliche Einheit</w:t>
      </w:r>
      <w:r>
        <w:t xml:space="preserve"> unter Wahrung ihrer Identität auf den Erwerber übergeht. Maßgeblich:</w:t>
      </w:r>
    </w:p>
    <w:p>
      <w:pPr>
        <w:pStyle w:val="ListBullet"/>
      </w:pPr>
      <w:r>
        <w:t xml:space="preserve">EuGH </w:t>
      </w:r>
      <w:r>
        <w:rPr>
          <w:b/>
        </w:rPr>
        <w:t>C-24/85 Spijkers</w:t>
      </w:r>
      <w:r>
        <w:t xml:space="preserve"> (Rspr.-Standard) und </w:t>
      </w:r>
      <w:r>
        <w:rPr>
          <w:b/>
        </w:rPr>
        <w:t>C-13/95 Süzen</w:t>
      </w:r>
      <w:r>
        <w:t>: 7-Faktoren-Test (Art des Unternehmens, Übergang materieller Aktiva, Übergang immaterieller Aktiva, Übernahme Hauptbelegschaft, Übergang Kundenstamm, Grad der Ähnlichkeit Tätigkeit, Unterbrechungsdauer).</w:t>
      </w:r>
    </w:p>
    <w:p>
      <w:pPr>
        <w:pStyle w:val="ListBullet"/>
      </w:pPr>
      <w:r>
        <w:t>BAG-Linie seit 2 AZR 92/02 (Urt. v. 06.04.2006) und 8 AZR 256/16 (Urt. v. 16.05.2017): Anwendung auf Software-Betrieb.</w:t>
      </w:r>
    </w:p>
    <w:p>
      <w:pPr>
        <w:jc w:val="left"/>
      </w:pPr>
      <w:r>
        <w:rPr>
          <w:b/>
        </w:rPr>
        <w:t>Hier:</w:t>
      </w:r>
      <w:r>
        <w:t xml:space="preserve"> Software-Stack, Marken, Domains, Kundenstamm, 10 von 12 AN — wirtschaftliche Einheit wird im Wesentlichen fortgeführt → § 613a BGB ist </w:t>
      </w:r>
      <w:r>
        <w:rPr>
          <w:b/>
        </w:rPr>
        <w:t>einschlägig</w:t>
      </w:r>
      <w:r>
        <w:t xml:space="preserve">. Die Tatsache, dass dies aus dem </w:t>
      </w:r>
      <w:r>
        <w:rPr>
          <w:b/>
        </w:rPr>
        <w:t>eröffneten Insolvenzverfahren</w:t>
      </w:r>
      <w:r>
        <w:t xml:space="preserve"> geschieht, schließt § 613a BGB </w:t>
      </w:r>
      <w:r>
        <w:rPr>
          <w:b/>
        </w:rPr>
        <w:t>nicht aus</w:t>
      </w:r>
      <w:r>
        <w:t xml:space="preserve"> (vgl. BAG 8 AZR 165/17 v. 25.01.2018; einschränkend wirken lediglich Spezialregeln § 128 ff. InsO für Sozialplan, nicht aber der Tatbestand des § 613a BGB).</w:t>
      </w:r>
    </w:p>
    <w:p>
      <w:pPr>
        <w:pStyle w:val="Heading2"/>
      </w:pPr>
      <w:r>
        <w:rPr>
          <w:rFonts w:ascii="Times New Roman" w:hAnsi="Times New Roman"/>
        </w:rPr>
        <w:t>2. Beibehaltungs- vs. Ausnahme-Beschäftigte</w:t>
      </w:r>
    </w:p>
    <w:p>
      <w:pPr>
        <w:jc w:val="left"/>
      </w:pPr>
      <w:r>
        <w:t xml:space="preserve">Der Käufer übernimmt 10 von 12 Arbeitsverhältnissen. Die übrigen 2 Stellen (Vertriebsleitung dual besetzt, Office-Management) sind im Voracis-Setup nicht vorgesehen. Im Sinne von </w:t>
      </w:r>
      <w:r>
        <w:rPr>
          <w:b/>
        </w:rPr>
        <w:t>§ 613a BGB ist die Auswahl rechtlich heikel</w:t>
      </w:r>
      <w:r>
        <w:t xml:space="preserve"> — der Käufer kann sich nicht aussuchen, welche AN er übernimmt; das Gesetz schreibt einen Übergang </w:t>
      </w:r>
      <w:r>
        <w:rPr>
          <w:b/>
        </w:rPr>
        <w:t>kraft Gesetzes</w:t>
      </w:r>
      <w:r>
        <w:t xml:space="preserve"> vor.</w:t>
      </w:r>
    </w:p>
    <w:p>
      <w:pPr>
        <w:jc w:val="left"/>
      </w:pPr>
      <w:r>
        <w:rPr>
          <w:b/>
        </w:rPr>
        <w:t>Lösungsweg:</w:t>
      </w:r>
    </w:p>
    <w:p>
      <w:pPr>
        <w:pStyle w:val="ListNumber"/>
      </w:pPr>
      <w:r>
        <w:t xml:space="preserve">Alle 12 AN gehen formal </w:t>
      </w:r>
      <w:r>
        <w:rPr>
          <w:b/>
        </w:rPr>
        <w:t>kraft Gesetzes</w:t>
      </w:r>
      <w:r>
        <w:t xml:space="preserve"> auf Voracis über (§ 613a I 1 BGB), denn die Stellen sind dem übernommenen Betriebsteil organisatorisch zuzuordnen.</w:t>
      </w:r>
    </w:p>
    <w:p>
      <w:pPr>
        <w:pStyle w:val="ListNumber"/>
      </w:pPr>
      <w:r>
        <w:t xml:space="preserve">Für die 2 nicht-betriebsnotwendigen AN wird </w:t>
      </w:r>
      <w:r>
        <w:rPr>
          <w:b/>
        </w:rPr>
        <w:t>vor</w:t>
      </w:r>
      <w:r>
        <w:t xml:space="preserve"> dem Übernahmestichtag durch den Insolvenzverwalter eine </w:t>
      </w:r>
      <w:r>
        <w:rPr>
          <w:b/>
        </w:rPr>
        <w:t>betriebsbedingte Kündigung</w:t>
      </w:r>
      <w:r>
        <w:t xml:space="preserve"> zum 31.07.2026 (Drei-Monats-Frist gemäß § 113 InsO) ausgesprochen.</w:t>
      </w:r>
    </w:p>
    <w:p>
      <w:pPr>
        <w:pStyle w:val="ListNumber"/>
      </w:pPr>
      <w:r>
        <w:t>§ 113 InsO erlaubt im Insolvenzverfahren auch kürzere Kündigungsfristen (3 Monate zum Monatsende, abweichend von individuellen längeren Fristen) — privilegiert nur den Verwalter, nicht den Käufer.</w:t>
      </w:r>
    </w:p>
    <w:p>
      <w:pPr>
        <w:pStyle w:val="ListNumber"/>
      </w:pPr>
      <w:r>
        <w:t xml:space="preserve">Diese Kündigung wird </w:t>
      </w:r>
      <w:r>
        <w:rPr>
          <w:b/>
        </w:rPr>
        <w:t>vor</w:t>
      </w:r>
      <w:r>
        <w:t xml:space="preserve"> dem 01.07.2026 zugestellt → AN ist zwar zum 01.07.2026 noch beim Verwalter (Schuldnerin) angestellt, geht aber </w:t>
      </w:r>
      <w:r>
        <w:rPr>
          <w:b/>
        </w:rPr>
        <w:t>nicht</w:t>
      </w:r>
      <w:r>
        <w:t xml:space="preserve"> auf Voracis über; die Kündigung wirkt zum 31.07.2026.</w:t>
      </w:r>
    </w:p>
    <w:p>
      <w:pPr>
        <w:jc w:val="left"/>
      </w:pPr>
      <w:r>
        <w:rPr>
          <w:b/>
        </w:rPr>
        <w:t>Vorsicht:</w:t>
      </w:r>
      <w:r>
        <w:t xml:space="preserve"> Diese Praxis ist umstritten (Stichwort: „Vorratskündigung zur Vermeidung von § 613a BGB" — vgl. BAG 8 AZR 263/13 v. 26.03.2015). Zulässig nur, wenn die Kündigung </w:t>
      </w:r>
      <w:r>
        <w:rPr>
          <w:b/>
        </w:rPr>
        <w:t>wirklich betriebsbedingt</w:t>
      </w:r>
      <w:r>
        <w:t xml:space="preserve"> und durch ein </w:t>
      </w:r>
      <w:r>
        <w:rPr>
          <w:b/>
        </w:rPr>
        <w:t>Erwerberkonzept</w:t>
      </w:r>
      <w:r>
        <w:t xml:space="preserve"> mit organisatorischen Maßnahmen unterlegt ist (BAG 8 AZR 263/13: „Konkretes Erwerberkonzept"). Voracis hat die Sachverhalte in ihrem Geschäftsplan vom 30.05.2026 ausführlich dokumentiert (dort: Vertriebs-Konsolidierung über Voracis-eigene Sales-Hub-Struktur, Wegfall der Position Office-Manager durch Outsourcing an Pebbo Office-Services GmbH).</w:t>
      </w:r>
    </w:p>
    <w:p>
      <w:pPr>
        <w:pStyle w:val="Heading2"/>
      </w:pPr>
      <w:r>
        <w:rPr>
          <w:rFonts w:ascii="Times New Roman" w:hAnsi="Times New Roman"/>
        </w:rPr>
        <w:t>3. Unterrichtungspflicht § 613a V BGB</w:t>
      </w:r>
    </w:p>
    <w:p>
      <w:pPr>
        <w:jc w:val="left"/>
      </w:pPr>
      <w:r>
        <w:t xml:space="preserve">Frist: </w:t>
      </w:r>
      <w:r>
        <w:rPr>
          <w:b/>
        </w:rPr>
        <w:t>spätestens 1 Monat vor Übergangsstichtag</w:t>
      </w:r>
      <w:r>
        <w:t xml:space="preserve">. Für Übergangsstichtag 01.07.2026 bedeutet das spätestens 31.05.2026 — </w:t>
      </w:r>
      <w:r>
        <w:rPr>
          <w:b/>
        </w:rPr>
        <w:t>bereits versäumt</w:t>
      </w:r>
      <w:r>
        <w:t xml:space="preserve"> wäre eine pflichtbeschränkende Folge (Widerspruchsfrist § 613a VI BGB läuft nicht zu laufen → AN kann jederzeit widersprechen). Maßnahme: das Schreiben ist auf den </w:t>
      </w:r>
      <w:r>
        <w:rPr>
          <w:b/>
        </w:rPr>
        <w:t>02.06.2026</w:t>
      </w:r>
      <w:r>
        <w:t xml:space="preserve"> datiert (siehe </w:t>
      </w:r>
      <w:r>
        <w:t>eml/uebernahmebrief-613a-arbeitnehmer.eml</w:t>
      </w:r>
      <w:r>
        <w:t>) — geringfügig verspätet; rechtsgeschäftlich erfolgt die Heilung durch volle Information nach der Rechtsprechung (BAG 8 AZR 305/13 v. 16.04.2015).</w:t>
      </w:r>
    </w:p>
    <w:p>
      <w:pPr>
        <w:pStyle w:val="Heading3"/>
      </w:pPr>
      <w:r>
        <w:rPr>
          <w:rFonts w:ascii="Times New Roman" w:hAnsi="Times New Roman"/>
        </w:rPr>
        <w:t>Inhalt des § 613a V BGB-Schreibens (rechtsverbindlich):</w:t>
      </w:r>
    </w:p>
    <w:p>
      <w:pPr>
        <w:pStyle w:val="ListNumber"/>
      </w:pPr>
      <w:r>
        <w:rPr>
          <w:b/>
        </w:rPr>
        <w:t>Zeitpunkt</w:t>
      </w:r>
      <w:r>
        <w:t xml:space="preserve"> oder geplanter Zeitpunkt des Übergangs: 01.07.2026.</w:t>
      </w:r>
    </w:p>
    <w:p>
      <w:pPr>
        <w:pStyle w:val="ListNumber"/>
      </w:pPr>
      <w:r>
        <w:rPr>
          <w:b/>
        </w:rPr>
        <w:t>Grund</w:t>
      </w:r>
      <w:r>
        <w:t xml:space="preserve"> des Übergangs: Asset Deal aus eröffnetem Insolvenzverfahren der Arbeitgeberin ChainCortex AI GmbH i. Ins. an die Voracis Ventures GmbH.</w:t>
      </w:r>
    </w:p>
    <w:p>
      <w:pPr>
        <w:pStyle w:val="ListNumber"/>
      </w:pPr>
      <w:r>
        <w:rPr>
          <w:b/>
        </w:rPr>
        <w:t>Rechtliche, wirtschaftliche und soziale Folgen</w:t>
      </w:r>
      <w:r>
        <w:t xml:space="preserve"> für die Arbeitnehmer:</w:t>
      </w:r>
    </w:p>
    <w:p>
      <w:pPr>
        <w:pStyle w:val="ListBullet"/>
      </w:pPr>
      <w:r>
        <w:t>Eintritt der Voracis Ventures GmbH in alle Rechte und Pflichten aus den bestehenden Arbeitsverhältnissen — ohne Unterbrechung, mit Anrechnung der Betriebszugehörigkeit.</w:t>
      </w:r>
    </w:p>
    <w:p>
      <w:pPr>
        <w:pStyle w:val="ListBullet"/>
      </w:pPr>
      <w:r>
        <w:t>Beibehaltung der bisherigen Beschäftigungsverhältnisse (Arbeitsbedingungen, Vergütung, Urlaubsanspruch).</w:t>
      </w:r>
    </w:p>
    <w:p>
      <w:pPr>
        <w:pStyle w:val="ListBullet"/>
      </w:pPr>
      <w:r>
        <w:t>Tarifvertraglich: Nicht-tarifgebunden — keine Veränderung.</w:t>
      </w:r>
    </w:p>
    <w:p>
      <w:pPr>
        <w:pStyle w:val="ListBullet"/>
      </w:pPr>
      <w:r>
        <w:t>Sozialversicherungsrechtlich: Beitragspflicht läuft beim neuen Arbeitgeber weiter; Meldung Voracis an Krankenkasse zum 01.07.2026.</w:t>
      </w:r>
    </w:p>
    <w:p>
      <w:pPr>
        <w:pStyle w:val="ListBullet"/>
      </w:pPr>
      <w:r>
        <w:t>Kollektivrechtlich: kein Betriebsrat in der Schuldnerin; bei Voracis wird ggf. neu gebildet (Anregung im Schreiben).</w:t>
      </w:r>
    </w:p>
    <w:p>
      <w:pPr>
        <w:pStyle w:val="ListNumber"/>
      </w:pPr>
      <w:r>
        <w:rPr>
          <w:b/>
        </w:rPr>
        <w:t>Hinsichtlich der Arbeitnehmer in Aussicht genommenen Maßnahmen:</w:t>
      </w:r>
      <w:r>
        <w:t xml:space="preserve"> Beibehaltung der Tätigkeit am Standort Berlin (Voracis-Räume); Übernahme der Arbeitsmittel (Notebook, Account); keine Versetzungen, keine Änderung der Vergütung in den ersten 12 Monaten.</w:t>
      </w:r>
    </w:p>
    <w:p>
      <w:pPr>
        <w:pStyle w:val="ListNumber"/>
      </w:pPr>
      <w:r>
        <w:rPr>
          <w:b/>
        </w:rPr>
        <w:t>Widerspruchsrecht § 613a VI BGB:</w:t>
      </w:r>
      <w:r>
        <w:t xml:space="preserve"> Innerhalb eines Monats nach Zugang der Unterrichtung; bei Widerspruch verbleibt das Arbeitsverhältnis bei der Schuldnerin (i. Ins.) → Konsequenz: Verwalter spricht dann ggf. § 113 InsO-Kündigung aus mangels Beschäftigungsmöglichkeit; </w:t>
      </w:r>
      <w:r>
        <w:rPr>
          <w:b/>
        </w:rPr>
        <w:t>darauf wird konkret hingewiesen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4. Übernahme-Konditionen je Arbeitnehmer</w:t>
      </w:r>
    </w:p>
    <w:p>
      <w:pPr>
        <w:jc w:val="left"/>
      </w:pPr>
      <w:r>
        <w:t xml:space="preserve">Detail in </w:t>
      </w:r>
      <w:r>
        <w:t>xlsx/arbeitnehmer-uebernahmestatus.xlsx</w:t>
      </w:r>
      <w:r>
        <w:t>. Beispielhafte Konditionen für die 10 Übernahme-AN:</w:t>
      </w:r>
    </w:p>
    <w:p>
      <w:pPr>
        <w:pStyle w:val="ListBullet"/>
      </w:pPr>
      <w:r>
        <w:t>Eintrittsdatum bei Voracis: 01.07.2026 (= Übergang)</w:t>
      </w:r>
    </w:p>
    <w:p>
      <w:pPr>
        <w:pStyle w:val="ListBullet"/>
      </w:pPr>
      <w:r>
        <w:t>Anrechnung Betriebszugehörigkeit: ja, ab originärem Eintrittsdatum bei ChainCortex AI GmbH</w:t>
      </w:r>
    </w:p>
    <w:p>
      <w:pPr>
        <w:pStyle w:val="ListBullet"/>
      </w:pPr>
      <w:r>
        <w:t>Gehalt: unverändert (zur Streitvermeidung kein Erstangebot mit Veränderungen)</w:t>
      </w:r>
    </w:p>
    <w:p>
      <w:pPr>
        <w:pStyle w:val="ListBullet"/>
      </w:pPr>
      <w:r>
        <w:t>Probezeit: nein (nicht erneut zulässig nach Betriebsübergang — kein Neueintritt)</w:t>
      </w:r>
    </w:p>
    <w:p>
      <w:pPr>
        <w:pStyle w:val="ListBullet"/>
      </w:pPr>
      <w:r>
        <w:t>Urlaubsanspruch: anteilig 50 % Restansprüche aus 2026 trägt Schuldnerin (bis 30.06.2026), 50 % trägt Voracis (ab 01.07.2026); bereits gewährter Urlaub wird angerechnet.</w:t>
      </w:r>
    </w:p>
    <w:p>
      <w:pPr>
        <w:pStyle w:val="Heading2"/>
      </w:pPr>
      <w:r>
        <w:rPr>
          <w:rFonts w:ascii="Times New Roman" w:hAnsi="Times New Roman"/>
        </w:rPr>
        <w:t>5. Massenentlassungsanzeige § 17 KSchG</w:t>
      </w:r>
    </w:p>
    <w:p>
      <w:pPr>
        <w:jc w:val="left"/>
      </w:pPr>
      <w:r>
        <w:t xml:space="preserve">Schwellenwert nach § 17 I 1 Nr. 1 KSchG (mehr als 5 AN bei weniger als 20 AN-Belegschaft im </w:t>
      </w:r>
      <w:r>
        <w:rPr>
          <w:b/>
        </w:rPr>
        <w:t>Betrieb</w:t>
      </w:r>
      <w:r>
        <w:t xml:space="preserve">) — bei 12 AN insgesamt, Kündigung von 2 AN: 2 Kündigungen erreichen die 5er-Schwelle nicht. </w:t>
      </w:r>
      <w:r>
        <w:rPr>
          <w:b/>
        </w:rPr>
        <w:t>Anzeige nicht erforderlich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6. Sozialplan / Interessenausgleich</w:t>
      </w:r>
    </w:p>
    <w:p>
      <w:pPr>
        <w:jc w:val="left"/>
      </w:pPr>
      <w:r>
        <w:t>Kein Betriebsrat → keine Pflicht zu Interessenausgleich/Sozialplan im engeren Sinn (§ 111 BetrVG). Verwalter und Käufer bieten den 2 nicht übernommenen AN dennoch im Wege einvernehmlicher Aufhebungsvereinbarung folgende Konditionen:</w:t>
      </w:r>
    </w:p>
    <w:p>
      <w:pPr>
        <w:pStyle w:val="ListBullet"/>
      </w:pPr>
      <w:r>
        <w:t>Abfindung in Höhe von 0.5 Monatsgehältern pro Beschäftigungsjahr (Faustformel; nach § 1a KSchG-Maßstab; Vergleich Abfindungsverteilung in vergleichbaren Insolvenzverfahren).</w:t>
      </w:r>
    </w:p>
    <w:p>
      <w:pPr>
        <w:pStyle w:val="ListBullet"/>
      </w:pPr>
      <w:r>
        <w:t>Befreiung von der Arbeitspflicht zwischen Zugang der Kündigung und Ablauf der Frist (Freistellung mit Verrechnung gegen Resturlaub).</w:t>
      </w:r>
    </w:p>
    <w:p>
      <w:pPr>
        <w:pStyle w:val="ListBullet"/>
      </w:pPr>
      <w:r>
        <w:t>Zwischenzeugnis sofort, Endzeugnis zum 31.07.2026.</w:t>
      </w:r>
    </w:p>
    <w:p>
      <w:pPr>
        <w:jc w:val="left"/>
      </w:pPr>
      <w:r>
        <w:t xml:space="preserve">Aufhebungsvereinbarungs-Muster siehe </w:t>
      </w:r>
      <w:r>
        <w:t>docx/aufhebungsvereinbarung-muster.docx</w:t>
      </w:r>
      <w:r>
        <w:t xml:space="preserve"> (nicht beigefügt; im Datenraum).</w:t>
      </w:r>
    </w:p>
    <w:p>
      <w:pPr>
        <w:pStyle w:val="Heading2"/>
      </w:pPr>
      <w:r>
        <w:rPr>
          <w:rFonts w:ascii="Times New Roman" w:hAnsi="Times New Roman"/>
        </w:rPr>
        <w:t>7. Risiken / Restprüfungen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Verspätung der § 613a V-Unterrichtung (02.06. vs. 31.05.)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Widerspruchsfrist läuft erst ab vollständiger Unterrichtung (BAG 8 AZR 305/13); Heilung durch Vollständigkeit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 widerspricht (kraft § 613a VI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Widerspruch: § 113 InsO-Kündigung; Mitarbeiter geht nicht über; Sozial-Plan-Komponente fällt; im Schreiben deutlich gemacht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 klagt nach Übernahme (Kündigung „durch die Hintertür")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dokumentiertem Erwerberkonzept (Voracis-Geschäftsplan 30.05.2026) und vorzeitigen Verwalterkündigungen Risiko überschaubar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 der Kündigung wegen Mitwirkung Käufer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strikte Trennung: Verwalter spricht Kündigung allein aus, </w:t>
            </w:r>
            <w:r>
              <w:rPr>
                <w:rFonts w:ascii="Times New Roman" w:hAnsi="Times New Roman"/>
                <w:b/>
                <w:sz w:val="20"/>
              </w:rPr>
              <w:t>vor</w:t>
            </w:r>
            <w:r>
              <w:rPr>
                <w:rFonts w:ascii="Times New Roman" w:hAnsi="Times New Roman"/>
                <w:sz w:val="20"/>
              </w:rPr>
              <w:t xml:space="preserve"> Übergang. Käufer hat keinen Einfluss auf Kündigungsentscheidung — dokumentieren!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