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10 — Closing-Memorandum vom 01.07.2026</w:t>
      </w:r>
    </w:p>
    <w:p>
      <w:pPr>
        <w:ind w:left="567"/>
      </w:pPr>
      <w:r>
        <w:rPr>
          <w:i/>
        </w:rPr>
        <w:t>Auftrag: Dokumentation des Vollzugs (Closing) der Asset-Deal-Transaktion zum Übernahmestichtag 01.07.2026, 00:00 Uhr. Verfasser: RA Dr. Konrad Vorberg, RA Mathis Reuter; Adressat: Gläubigerausschuss, AG Charlottenburg, Steuerberater Inkermann. Datum: 01.07.2026, 18:30 Uhr.</w:t>
      </w:r>
    </w:p>
    <w:p>
      <w:pPr>
        <w:pStyle w:val="Heading2"/>
      </w:pPr>
      <w:r>
        <w:rPr>
          <w:rFonts w:ascii="Times New Roman" w:hAnsi="Times New Roman"/>
        </w:rPr>
        <w:t>A. Closing-Bedingungen (Conditions Precedent) — Erfüllung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Bedingung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Beleg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Gläubigerausschuss-Beschluss (§ 160 II Nr. 1 InsO)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✅ erfüllt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Beschluss vom 17.06.2026, einstimmig (Beleg: Protokoll der Sitzung, beA-Aktenzeichen)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Unterzeichnetes APA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✅ erfüllt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Unterzeichnung am 25.06.2026 in den Räumen Vorberg + Steinhausen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Kaufpreiszahlung 400.000,00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✅ erfüllt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Eingang am Treuhandkonto am 30.06.2026, 09:14 Uhr (Beleg: Kontoauszug)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Datenschutz-Information § 14 DSGVO Privatkunden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✅ erfüllt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Versand 18.06.2026, 30-Tagesfrist läuft bis 17.07.2026 (siehe unten Hinweis 3.)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613a V BGB-Unterrichtung 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✅ erfüllt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Versand 02.06.2026; bis 30.06.2026 sind 9 von 10 Unterrichtungen ohne Widerspruch geblieben; 1 Unterrichtung Widerspruch (siehe unten Hinweis 1.)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Marken-Umschreibungsanträge DPMA (vorbereitet)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✅ erfüllt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Anträge ausgefüllt, Versand 02.07.2026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GitHub-Owner-Transfer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✅ erfüllt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Transfer 01.07.2026, 06:00 Uhr (UTC); Bestätigungsmail GitHub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AWS-Account-Übergabe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⏳ teilweise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Migration in 2 Tranchen — Tranche 1 (Storage) bereits 30.06.2026, Tranche 2 (Compute) 04.07.2026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Cloud-Hosting-Übergabe AWS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⏳ teilweise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siehe oben — Vertrag mit Voracis schon übergeleitet, Compute-Migration läuft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B. Vollzugshandlungen am 01.07.2026, 00:00-12:00 Uhr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Handlung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00:00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Übernahmestichtag — Eigentum/Inhaberschaft an Kaufgegenständen geht auf Käufer über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00:01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Voracis übernimmt Verarbeitungsverantwortung für die Kundendaten (mit den im DSGVO-Schreiben benannten Einschränkungen)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DSB Manderscheid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06:00 (UTC)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GitHub-Repo-Owner-Transfer (vorgespeichert; automatisierter Zeitpunkt)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Tech Voracis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08:00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Begrüßungs-Meeting der 10 übernommenen AN durch Dr. Hennings (Voracis, Kurfürstendamm 188)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Voracis HR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09:30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Übergabe der Hardware-Inventur (Notebooks etc., separater Vertragsvorgang)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Reuter / Voracis 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11:00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Übergabe physischer Aktenlager (vertrauliche Dokumente)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Reuter / Voracis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12:00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Übergabe-Protokoll unterzeichnet, Cloud-Konten-Übergabe Tranche 1 verifiziert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beide Parteien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C. Offene Punkte</w:t>
      </w:r>
    </w:p>
    <w:p>
      <w:pPr>
        <w:pStyle w:val="ListNumber"/>
      </w:pPr>
      <w:r>
        <w:rPr>
          <w:b/>
        </w:rPr>
        <w:t>AN-Widerspruch:</w:t>
      </w:r>
      <w:r>
        <w:t xml:space="preserve"> Einer der 10 vorgesehenen Übernahme-AN hat am 28.06.2026 gem. § 613a VI BGB widersprochen (Frau Cordula Heelen, Backend-Engineer). Arbeitsverhältnis verbleibt zunächst bei der Schuldnerin (i. Ins.). Verwalter prüft § 113 InsO-Kündigung zum 31.10.2026 (mangels Beschäftigungsmöglichkeit). Voracis-Stellenplan bleibt unverändert.</w:t>
      </w:r>
    </w:p>
    <w:p>
      <w:pPr>
        <w:pStyle w:val="ListNumber"/>
      </w:pPr>
      <w:r>
        <w:rPr>
          <w:b/>
        </w:rPr>
        <w:t>AWS-Compute-Migration:</w:t>
      </w:r>
      <w:r>
        <w:t xml:space="preserve"> Übergabe in 2 Tranchen — Tranche 2 am 04.07.2026 mit Workload-Migration. Aufwand getragen Voracis; Verwalter unterstützt im Rahmen der § 8 APA-Mitwirkungsverpflichtung (16 PS).</w:t>
      </w:r>
    </w:p>
    <w:p>
      <w:pPr>
        <w:pStyle w:val="ListNumber"/>
      </w:pPr>
      <w:r>
        <w:rPr>
          <w:b/>
        </w:rPr>
        <w:t>DSGVO-Widerspruchsfrist B2C:</w:t>
      </w:r>
      <w:r>
        <w:t xml:space="preserve"> Läuft bis 17.07.2026. Bei Widerspruchs-Eingang innerhalb dieser Frist (kein Eingang Stand 01.07.2026, 18:30 Uhr) wird Voracis die jeweiligen Datensätze unverzüglich (innerhalb 7 Werktagen) löschen — siehe </w:t>
      </w:r>
      <w:r>
        <w:t>11_…</w:t>
      </w:r>
      <w:r>
        <w:t>.</w:t>
      </w:r>
    </w:p>
    <w:p>
      <w:pPr>
        <w:pStyle w:val="ListNumber"/>
      </w:pPr>
      <w:r>
        <w:rPr>
          <w:b/>
        </w:rPr>
        <w:t>HR-Anzeige § 25 II HGB:</w:t>
      </w:r>
      <w:r>
        <w:t xml:space="preserve"> Antrag durch Verwalter beim HR vorbereitet, Versand 02.07.2026.</w:t>
      </w:r>
    </w:p>
    <w:p>
      <w:pPr>
        <w:pStyle w:val="Heading2"/>
      </w:pPr>
      <w:r>
        <w:rPr>
          <w:rFonts w:ascii="Times New Roman" w:hAnsi="Times New Roman"/>
        </w:rPr>
        <w:t>D. Bewertung</w:t>
      </w:r>
    </w:p>
    <w:p>
      <w:pPr>
        <w:jc w:val="left"/>
      </w:pPr>
      <w:r>
        <w:t xml:space="preserve">Der Vollzug ist zum Übernahmestichtag im </w:t>
      </w:r>
      <w:r>
        <w:rPr>
          <w:b/>
        </w:rPr>
        <w:t>Wesentlichen erfolgreich</w:t>
      </w:r>
      <w:r>
        <w:t xml:space="preserve"> abgeschlossen; die offenen Punkte (AWS-Tranche 2, DSGVO-Widerspruchsfrist, HR-Anzeige, AN-Widerspruch) sind in den nachfolgenden 30 Tagen abzuarbeiten.</w:t>
      </w:r>
    </w:p>
    <w:p>
      <w:pPr>
        <w:jc w:val="left"/>
      </w:pPr>
      <w:r>
        <w:t>Berlin, den 01.07.2026</w:t>
      </w:r>
    </w:p>
    <w:p>
      <w:pPr>
        <w:jc w:val="left"/>
      </w:pPr>
      <w:r>
        <w:t>RA Dr. Konrad Vorberg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