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11 — Post-Closing-Anzeigen und Folgepflichten</w:t>
      </w:r>
    </w:p>
    <w:p>
      <w:pPr>
        <w:ind w:left="567"/>
      </w:pPr>
      <w:r>
        <w:rPr>
          <w:i/>
        </w:rPr>
        <w:t>Auftrag: Übersicht der nach dem Übernahmestichtag noch zu erledigenden Anzeigen und Folgepflichten der Parteien. Stand: 04.07.2026. Verfasser: RA Mathis Reuter.</w:t>
      </w:r>
    </w:p>
    <w:p>
      <w:pPr>
        <w:pStyle w:val="Heading2"/>
      </w:pPr>
      <w:r>
        <w:rPr>
          <w:rFonts w:ascii="Times New Roman" w:hAnsi="Times New Roman"/>
        </w:rPr>
        <w:t>A. Handelsregister AG Charlottenburg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Anzeige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25 II HGB Haftungsausschluss-Anzeige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 Tage nach Closing (intern; gesetzlich nicht zwingend, aber „unverzüglich")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beantragt 02.07.2026; Eintragung erwartet 10.-15.07.2026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75 GmbHG Eintragung Auflösung Schuldnerin (war bereits durch Eröffnung erfolgt)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bereits 02.04.2026 erfolgt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HR-Auszug Voracis zur Dokumentation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n. 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im Datenraum vorhanden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B. DPMA Marken-Umschreibung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Marke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Reg.-Nr.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ChainCortex (Wort)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30 2023 045 678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Bearbeitung, Bestätigung 03.07.2026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ChainCortex Logo (Bild)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30 2023 045 679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BlockSight (Wort)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30 2024 098 765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</w:tbl>
    <w:p>
      <w:pPr>
        <w:jc w:val="left"/>
      </w:pPr>
      <w:r>
        <w:t xml:space="preserve">Anträge nach </w:t>
      </w:r>
      <w:r>
        <w:rPr>
          <w:b/>
        </w:rPr>
        <w:t>§ 28 MarkenG</w:t>
      </w:r>
      <w:r>
        <w:t xml:space="preserve"> i. V. m. § 31 DPMAV; Kosten je 200 EUR pro Marke (Käufer trägt nach APA § 9).</w:t>
      </w:r>
    </w:p>
    <w:p>
      <w:pPr>
        <w:pStyle w:val="Heading2"/>
      </w:pPr>
      <w:r>
        <w:rPr>
          <w:rFonts w:ascii="Times New Roman" w:hAnsi="Times New Roman"/>
        </w:rPr>
        <w:t>C. DSGVO-Folgepflichten</w:t>
      </w:r>
    </w:p>
    <w:p>
      <w:pPr>
        <w:pStyle w:val="ListNumber"/>
      </w:pPr>
      <w:r>
        <w:rPr>
          <w:b/>
        </w:rPr>
        <w:t>30-Tages-Widerspruchsfrist Privatkundendaten</w:t>
      </w:r>
      <w:r>
        <w:t xml:space="preserve"> läuft bis 17.07.2026. Stand 04.07.2026: keine Widersprüche eingegangen. Bei Widerspruchseingang reagiert Voracis-DSB Manderscheid binnen 7 Werktagen mit Datenlöschung; Verwalter wird gespiegelt informiert.</w:t>
      </w:r>
    </w:p>
    <w:p>
      <w:pPr>
        <w:pStyle w:val="ListNumber"/>
      </w:pPr>
      <w:r>
        <w:rPr>
          <w:b/>
        </w:rPr>
        <w:t>Verzeichnis von Verarbeitungstätigkeiten</w:t>
      </w:r>
      <w:r>
        <w:t xml:space="preserve"> Voracis (Art. 30 DSGVO) wurde am 30.06.2026 aktualisiert (Eintrag „CRM Privatkunden ChainCortex i. Ins. Übernahme 01.07.2026"). Beleg: Eintrag in </w:t>
      </w:r>
      <w:r>
        <w:t>voracis-vovz.docx</w:t>
      </w:r>
      <w:r>
        <w:t xml:space="preserve"> (im Datenraum).</w:t>
      </w:r>
    </w:p>
    <w:p>
      <w:pPr>
        <w:pStyle w:val="ListNumber"/>
      </w:pPr>
      <w:r>
        <w:rPr>
          <w:b/>
        </w:rPr>
        <w:t>DPIA</w:t>
      </w:r>
      <w:r>
        <w:t xml:space="preserve"> (Datenschutzfolgeabschätzung Art. 35 DSGVO) für die übergangsbezogene Verarbeitung wurde am 10.06.2026 fertiggestellt und im Voracis-DSB-Archiv eingestellt.</w:t>
      </w:r>
    </w:p>
    <w:p>
      <w:pPr>
        <w:pStyle w:val="Heading2"/>
      </w:pPr>
      <w:r>
        <w:rPr>
          <w:rFonts w:ascii="Times New Roman" w:hAnsi="Times New Roman"/>
        </w:rPr>
        <w:t>D. Arbeits- und sozialversicherungsrechtlich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Anzeige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Krankenkassen-Meldung „Wechsel Arbeitgeber" für 10 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unverzüglich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 01.07.2026 (DSRV)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Berufsgenossenschaft Anmeldung Voracis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 Woche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 03.07.2026 (VBG für Bürobetrieb)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ELStAM-Anmeldung der 10 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nächster Lohnabrechnung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wird mit Voracis-Lohnabrechnung 25.07.2026 ausgeführt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 Frau Heelen (Widerspruch § 613a VI BGB)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113 InsO — 3 Monate zum Monatsende → Kündigung zum 31.10.2026; Zustellung Anfang Juli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wird vorbereitet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Kündigung der 2 nicht-Übernahme-AN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bereits erledigt vor Closing, wirkt zum 31.07.2026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Aufhebungsvereinbarungen mit den 2 nicht-Übernahme-AN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15.07.2026 unterzeichnen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bei einem AN unterzeichnet (Office-Manager-Stelle), bei zweitem AN in Verhandlung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E. Finanz- und Steuerrechtlich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Anzeige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Mitteilung an Finanzamt Berlin-Mitte über Geschäftsveräußerung im Ganzen (§ 1 Ia UStG)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 nächster USt-Voranmeldung (Juli 2026, fällig 10.08.2026)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wird durch WP Quintbeck miterledigt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75 AO Haftung Erwerber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einschlägig (kein Übergang einer steuerverhafteten Betriebsstelle)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n. a.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Aufnahme USt-IdNr. Voracis als neuer Verarbeiter / EORI ggf.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n. a.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n. a.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Beendigungs-Bilanz Schuldnerin (zum 30.06.2026)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Verwalter erstellt mit WP Quintbeck — bis 31.10.2026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 Vorbereitung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13c UStG Vorhaftung des Käufers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einschlägig (Asset Deal, nicht Anteilskauf)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n. a.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F. Vorzeitige Tabellenpflicht / Massekostenkonto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Stand 04.07.2026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Asset-Deal-Erlös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400.000,00 EUR auf Treuhandkonto Verwalter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Massekosten 04/2026-06/2026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92.000 EUR (Verwaltervergütung Vorschuss, Gerichtskosten, externe Sachverständige)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Verbleibend für Insolvenztabelle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308.000 EUR (provisorisch; finale Bewertung im Schlussbericht)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Anmeldungen Insolvenztabelle (Stand 02.07.2026)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 Anmeldungen, Summe ca. 1.95 Mio. EUR; quotale Verteilung erwartet ca. 12-15 %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G. Folgepflichten Käufer (nicht Verwalter)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Voracis-Verantwortlicher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ELStAM AN-Anmeldungen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Voracis HR (Dr. Hennings)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Mitteilung an Kunden über Vertragsfortführung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Voracis Customer Success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18.07.2026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Domain-Whois-Anpassung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Voracis 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15.07.2026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Beneficial-Ownership-Register-Aktualisierung Voracis (neue Beteiligungen via Genmar)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Voracis Compliance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bereits erfolgt 12.05.2026</w:t>
            </w:r>
          </w:p>
        </w:tc>
      </w:tr>
    </w:tbl>
    <w:p>
      <w:pPr>
        <w:jc w:val="left"/>
      </w:pPr>
      <w:r>
        <w:t>Berlin, 04.07.2026</w:t>
      </w:r>
    </w:p>
    <w:p>
      <w:pPr>
        <w:jc w:val="left"/>
      </w:pPr>
      <w:r>
        <w:t>RA Mathis Reuter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