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Mandatsvermerk — Vorbereitung Insolvenzanfechtungsklage</w:t>
      </w:r>
    </w:p>
    <w:p>
      <w:pPr>
        <w:jc w:val="left"/>
      </w:pPr>
      <w:r>
        <w:rPr>
          <w:b/>
        </w:rPr>
        <w:t>Kanzlei Trux Insolvenzverwaltung, Berlin</w:t>
      </w:r>
      <w:r>
        <w:t xml:space="preserve"> · Vermerk RA'in Dr. Gesa Trux · 10.06.2026</w:t>
      </w:r>
    </w:p>
    <w:p>
      <w:pPr>
        <w:jc w:val="left"/>
      </w:pPr>
      <w:r>
        <w:rPr>
          <w:b/>
        </w:rPr>
        <w:t>Verfahren:</w:t>
      </w:r>
      <w:r>
        <w:t xml:space="preserve"> Kiezflitzer Mobility GmbH, AG Charlottenburg 36c IN 2291/25, eröffnet am 01.03.2026.</w:t>
      </w:r>
    </w:p>
    <w:p>
      <w:pPr>
        <w:jc w:val="left"/>
      </w:pPr>
      <w:r>
        <w:rPr>
          <w:b/>
        </w:rPr>
        <w:t>Auftrag an das Prozessteam:</w:t>
      </w:r>
      <w:r>
        <w:t xml:space="preserve"> Vorbereitung einer Anfechtungsklage gegen Herrn Dr. Valentin Brosekamp vor dem Landgericht Berlin. Gegenstand sind drei Zahlungen der Schuldnerin an den Gesellschafter:</w:t>
      </w:r>
    </w:p>
    <w:p>
      <w:pPr>
        <w:pStyle w:val="ListNumber"/>
      </w:pPr>
      <w:r>
        <w:t>20.12.2024 — 150.000,00 EUR „Rückführung Gesellschafterdarlehen" (Darlehen vom 15.05.2023).</w:t>
      </w:r>
    </w:p>
    <w:p>
      <w:pPr>
        <w:pStyle w:val="ListNumber"/>
      </w:pPr>
      <w:r>
        <w:t>12.09.2025 — 20.230,00 EUR auf Rechnung 2025-002 vom 31.08.2025 aus dem Beratervertrag vom 01.07.2025.</w:t>
      </w:r>
    </w:p>
    <w:p>
      <w:pPr>
        <w:pStyle w:val="ListNumber"/>
      </w:pPr>
      <w:r>
        <w:t>24.10.2025 — 15.000,00 EUR „Vorschuss Honorare Okt/Nov" ohne vertragliche Grundlage.</w:t>
      </w:r>
    </w:p>
    <w:p>
      <w:pPr>
        <w:jc w:val="left"/>
      </w:pPr>
      <w:r>
        <w:t>Das Antwortschreiben RA Dr. Okatan vom 03.06.2026 lehnt die Rückzahlung vollständig ab (Aktenstück 23). Die Kenntnislage ist streitig; die Beweismittel (Aktenstücke 10 bis 14) sind vollständig zu verwerten. Streitwert vorläufig 185.230,00 EUR zuzüglich Zinsen ab Eröffnung. Wiedervorlage: Klageentwurf bis 30.06.2026.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