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Beratervertrag „Interim Finance Advisory" — Abschrift</w:t>
      </w:r>
    </w:p>
    <w:p>
      <w:pPr>
        <w:jc w:val="left"/>
      </w:pPr>
      <w:r>
        <w:t xml:space="preserve">zwischen der </w:t>
      </w:r>
      <w:r>
        <w:rPr>
          <w:b/>
        </w:rPr>
        <w:t>Kiezflitzer Mobility GmbH</w:t>
      </w:r>
      <w:r>
        <w:t xml:space="preserve"> („Gesellschaft") und </w:t>
      </w:r>
      <w:r>
        <w:rPr>
          <w:b/>
        </w:rPr>
        <w:t>Dr. Valentin Brosekamp</w:t>
      </w:r>
      <w:r>
        <w:t xml:space="preserve"> („Berater"), Berlin, den 01.07.2025.</w:t>
      </w:r>
    </w:p>
    <w:p>
      <w:pPr>
        <w:jc w:val="left"/>
      </w:pPr>
      <w:r>
        <w:t>1 Der Berater unterstützt die Gesellschaft ab dem 01.07.2025 bis zum 31.12.2025 in den Bereichen Finanzplanung, Liquiditätssteuerung, Bankgespräche und Vorbereitung einer Finanzierungsrunde. Der Berater ist frei in Zeit und Ort; er schuldet keine Organtätigkeit.</w:t>
      </w:r>
    </w:p>
    <w:p>
      <w:pPr>
        <w:jc w:val="left"/>
      </w:pPr>
      <w:r>
        <w:t>2 Die Vergütung beträgt 170,00 EUR je Stunde zuzüglich Umsatzsteuer. Der Berater rechnet monatlich zum Monatsende ab und fügt Stundennachweise bei. Rechnungen sind binnen 14 Tagen nach Zugang zur Zahlung fällig.</w:t>
      </w:r>
    </w:p>
    <w:p>
      <w:pPr>
        <w:jc w:val="left"/>
      </w:pPr>
      <w:r>
        <w:t xml:space="preserve">3 Reisekosten werden gegen Beleg erstattet. </w:t>
      </w:r>
      <w:r>
        <w:rPr>
          <w:b/>
        </w:rPr>
        <w:t>Weitere Zahlungen, insbesondere Abschläge oder Vorschüsse, sieht dieser Vertrag nicht vor.</w:t>
      </w:r>
    </w:p>
    <w:p>
      <w:pPr>
        <w:jc w:val="left"/>
      </w:pPr>
      <w:r>
        <w:t>4 Der Berater erhält Zugang zu den Finanzunterlagen der Gesellschaft einschließlich der wöchentlichen Cash-Reports und der BWA und behandelt sie vertraulich.</w:t>
      </w:r>
    </w:p>
    <w:p>
      <w:pPr>
        <w:jc w:val="left"/>
      </w:pPr>
      <w:r>
        <w:t>5 Der Vertrag ist mit einer Frist von zwei Wochen zum Monatsende kündbar. Änderungen bedürfen der Textform.</w:t>
      </w:r>
    </w:p>
    <w:p>
      <w:pPr>
        <w:jc w:val="left"/>
      </w:pPr>
      <w:r>
        <w:rPr>
          <w:i/>
        </w:rPr>
        <w:t>(gez. Wittkamp / gez. Brosekamp)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