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Rechnung 2025-002 — Dr. Valentin Brosekamp, Interim Finance Advisory</w:t>
      </w:r>
    </w:p>
    <w:p>
      <w:pPr>
        <w:jc w:val="left"/>
      </w:pPr>
      <w:r>
        <w:t>Knesebeckstraße 12, 10623 Berlin · USt-IdNr. DE317645209</w:t>
      </w:r>
    </w:p>
    <w:p>
      <w:pPr>
        <w:jc w:val="left"/>
      </w:pPr>
      <w:r>
        <w:rPr>
          <w:b/>
        </w:rPr>
        <w:t>An:</w:t>
      </w:r>
      <w:r>
        <w:t xml:space="preserve"> Kiezflitzer Mobility GmbH, Weserstraße 168, 12045 Berlin</w:t>
      </w:r>
    </w:p>
    <w:p>
      <w:pPr>
        <w:jc w:val="left"/>
      </w:pPr>
      <w:r>
        <w:rPr>
          <w:b/>
        </w:rPr>
        <w:t>Rechnungsdatum:</w:t>
      </w:r>
      <w:r>
        <w:t xml:space="preserve"> 31.08.2025 · </w:t>
      </w:r>
      <w:r>
        <w:rPr>
          <w:b/>
        </w:rPr>
        <w:t>Leistungszeitraum:</w:t>
      </w:r>
      <w:r>
        <w:t xml:space="preserve"> 01.07.2025 bis 31.08.2025 · </w:t>
      </w:r>
      <w:r>
        <w:rPr>
          <w:b/>
        </w:rPr>
        <w:t>Zahlungsziel:</w:t>
      </w:r>
      <w:r>
        <w:t xml:space="preserve"> 14 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Finanz- und Liquiditätsplanung Juli (13-Wochen-Modell, Szenarien)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7.055,00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Fundraising-Unterlagen und Investorengespräche Juli/August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6.460,00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Bankgespräche Sparkasse und GLS, Unterlagenaufbereitung August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3.485,00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 netto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17.000,00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Umsatzsteuer 19 %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3.230,00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Rechnungsbetrag brutto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20.230,00</w:t>
            </w:r>
          </w:p>
        </w:tc>
      </w:tr>
    </w:tbl>
    <w:p>
      <w:pPr>
        <w:jc w:val="left"/>
      </w:pPr>
      <w:r>
        <w:t>Stundennachweise als Anlage (Aktenstück 07). Zahlbar auf IBAN DE21 1005 0000 0190 3344 87.</w:t>
      </w:r>
    </w:p>
    <w:p>
      <w:pPr>
        <w:jc w:val="left"/>
      </w:pPr>
      <w:r>
        <w:rPr>
          <w:i/>
        </w:rPr>
        <w:t>Vermerk Buchhaltung Kiezflitzer: „bezahlt 12.09.2025, Freigabe JW".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