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Letter of Intent (Auszug) — Kollibri Capital Partners / Kiezflitzer Mobility GmbH</w:t>
      </w:r>
    </w:p>
    <w:p>
      <w:pPr>
        <w:jc w:val="left"/>
      </w:pPr>
      <w:r>
        <w:t>Berlin, 30.09.2025</w:t>
      </w:r>
    </w:p>
    <w:p>
      <w:pPr>
        <w:jc w:val="left"/>
      </w:pPr>
      <w:r>
        <w:t>Kollibri Capital Partners beabsichtigt, sich vorbehaltlich einer zufriedenstellenden Due Diligence mit bis zu 2.500.000 EUR an einer Serie-A-Finanzierung der Kiezflitzer Mobility GmbH zu beteiligen (Pre-Money-Bewertung 9.000.000 EUR, Wandeldarlehen als Zwischenschritt möglich).</w:t>
      </w:r>
    </w:p>
    <w:p>
      <w:pPr>
        <w:jc w:val="left"/>
      </w:pPr>
      <w:r>
        <w:rPr>
          <w:b/>
        </w:rPr>
        <w:t>Ziffer 6 — Unverbindlichkeit:</w:t>
      </w:r>
      <w:r>
        <w:t xml:space="preserve"> Dieser Letter of Intent begründet mit Ausnahme der Ziffern 7 (Vertraulichkeit) und 8 (Exklusivität bis 30.11.2025) keine rechtlichen Verpflichtungen. Ein Anspruch auf Abschluss der Beteiligungsvereinbarung besteht nicht.</w:t>
      </w:r>
    </w:p>
    <w:p>
      <w:pPr>
        <w:jc w:val="left"/>
      </w:pPr>
      <w:r>
        <w:rPr>
          <w:i/>
        </w:rPr>
        <w:t>(gez. Vondracek für Kollibri; gez. Wittkamp)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