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Amtsgericht Charlottenburg — Beschluss vom 17.11.2025 — 36c IN 2291/25</w:t>
      </w:r>
    </w:p>
    <w:p>
      <w:pPr>
        <w:jc w:val="left"/>
      </w:pPr>
      <w:r>
        <w:t xml:space="preserve">In dem Insolvenzeröffnungsverfahren über das Vermögen der </w:t>
      </w:r>
      <w:r>
        <w:rPr>
          <w:b/>
        </w:rPr>
        <w:t>Kiezflitzer Mobility GmbH</w:t>
      </w:r>
      <w:r>
        <w:t>, Weserstraße 168, 12045 Berlin (AG Charlottenburg HRB 224871 B), Antrag vom 14.11.2025, wird angeordnet:</w:t>
      </w:r>
    </w:p>
    <w:p>
      <w:pPr>
        <w:pStyle w:val="ListNumber"/>
      </w:pPr>
      <w:r>
        <w:t xml:space="preserve">Zur vorläufigen Insolvenzverwalterin wird </w:t>
      </w:r>
      <w:r>
        <w:rPr>
          <w:b/>
        </w:rPr>
        <w:t>Rechtsanwältin Dr. Gesa Trux</w:t>
      </w:r>
      <w:r>
        <w:t>, Hardenbergstraße 21, 10623 Berlin, bestellt (§ 21 Abs. 2 Satz 1 Nr. 1 InsO).</w:t>
      </w:r>
    </w:p>
    <w:p>
      <w:pPr>
        <w:pStyle w:val="ListNumber"/>
      </w:pPr>
      <w:r>
        <w:t>Verfügungen der Schuldnerin über Gegenstände ihres Vermögens sind nur noch mit Zustimmung der vorläufigen Insolvenzverwalterin wirksam (§ 21 Abs. 2 Satz 1 Nr. 2 Alt. 2 InsO).</w:t>
      </w:r>
    </w:p>
    <w:p>
      <w:pPr>
        <w:pStyle w:val="ListNumber"/>
      </w:pPr>
      <w:r>
        <w:t>Maßnahmen der Zwangsvollstreckung gegen die Schuldnerin werden untersagt, soweit nicht unbewegliche Gegenstände betroffen sind; laufende Maßnahmen werden einstweilen eingestellt (§ 21 Abs. 2 Satz 1 Nr. 3 InsO).</w:t>
      </w:r>
    </w:p>
    <w:p>
      <w:pPr>
        <w:pStyle w:val="ListNumber"/>
      </w:pPr>
      <w:r>
        <w:t>Die vorläufige Insolvenzverwalterin wird zugleich als Sachverständige beauftragt zu prüfen, ob ein Eröffnungsgrund vorliegt, welche Aussichten für eine Fortführung des Unternehmens bestehen und ob die Kosten des Verfahrens voraussichtlich gedeckt sind (§ 22 Abs. 1 Satz 2 Nr. 3 InsO entsprechend).</w:t>
      </w:r>
    </w:p>
    <w:p>
      <w:pPr>
        <w:jc w:val="left"/>
      </w:pPr>
      <w:r>
        <w:rPr>
          <w:b/>
        </w:rPr>
        <w:t>Gründe (Kurzfassung):</w:t>
      </w:r>
      <w:r>
        <w:t xml:space="preserve"> Der zulässige Eigenantrag und die glaubhaft gemachte Liquiditätslage rechtfertigen Sicherungsmaßnahmen; ohne sie wäre eine die Gläubigergesamtheit benachteiligende Veränderung der Vermögenslage zu besorgen (§ 21 Abs. 1 InsO).</w:t>
      </w:r>
    </w:p>
    <w:p>
      <w:pPr>
        <w:jc w:val="left"/>
      </w:pPr>
      <w:r>
        <w:rPr>
          <w:i/>
        </w:rPr>
        <w:t>(gez.) Riewoldt, Richter am Amtsgericht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