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Antwortschreiben RA Dr. Selim Okatan für Dr. Brosekamp — 03.06.2026</w:t>
      </w:r>
    </w:p>
    <w:p>
      <w:pPr>
        <w:jc w:val="left"/>
      </w:pPr>
      <w:r>
        <w:t>Sehr geehrte Frau Kollegin Dr. Trux,</w:t>
      </w:r>
    </w:p>
    <w:p>
      <w:pPr>
        <w:jc w:val="left"/>
      </w:pPr>
      <w:r>
        <w:t>namens und in Vollmacht von Herrn Dr. Valentin Brosekamp weise ich die geltend gemachten Ansprüche zurück.</w:t>
      </w:r>
    </w:p>
    <w:p>
      <w:pPr>
        <w:jc w:val="left"/>
      </w:pPr>
      <w:r>
        <w:t xml:space="preserve">1 </w:t>
      </w:r>
      <w:r>
        <w:rPr>
          <w:b/>
        </w:rPr>
        <w:t>Darlehensrückzahlung.</w:t>
      </w:r>
      <w:r>
        <w:t xml:space="preserve"> Die Rückzahlung vom 20.12.2024 beruhte auf der bereits am 25.09.2024 — lange vor jeder Krise — erklärten ordentlichen Kündigung zum 31.12.2024. Zu diesem Zeitpunkt war die Gesellschaft nach eigener Planung durchfinanziert; eine Gläubigerbenachteiligung ist nicht dargetan. Die Voraussetzungen des § 135 InsO werden vorsorglich mit Nichtwissen bestritten, insbesondere die Fristberechnung.</w:t>
      </w:r>
    </w:p>
    <w:p>
      <w:pPr>
        <w:jc w:val="left"/>
      </w:pPr>
      <w:r>
        <w:t xml:space="preserve">2 </w:t>
      </w:r>
      <w:r>
        <w:rPr>
          <w:b/>
        </w:rPr>
        <w:t>Honorar 20.230,00 EUR.</w:t>
      </w:r>
      <w:r>
        <w:t xml:space="preserve"> Unser Mandant hat die abgerechneten 100 Stunden unstreitig und nachweislich geleistet (Stundennachweise, Arbeitsergebnisse liegen Ihnen vor). Leistung und Gegenleistung stehen sich gleichwertig und in engem zeitlichen Zusammenhang gegenüber; es liegt ein Bargeschäft nach § 142 InsO vor. Eine Kenntnis der Zahlungsunfähigkeit bestand am 12.09.2025 nicht: Die Gesellschaft verfolgte mit Kollibri Capital eine konkrete Finanzierung, die am 30.09.2025 in einen LOI mündete; unser Mandant durfte von einem ernsthaften und aussichtsreichen Sanierungsbemühen ausgehen. Bloße Liquiditätsenge begründet keine Kenntnis im Sinne der §§ 130, 133 InsO.</w:t>
      </w:r>
    </w:p>
    <w:p>
      <w:pPr>
        <w:jc w:val="left"/>
      </w:pPr>
      <w:r>
        <w:t xml:space="preserve">3 </w:t>
      </w:r>
      <w:r>
        <w:rPr>
          <w:b/>
        </w:rPr>
        <w:t>Vorschuss 15.000,00 EUR.</w:t>
      </w:r>
      <w:r>
        <w:t xml:space="preserve"> Die Zahlung war Gegenleistung für die verbindliche Reservierung von zwei Arbeitswochen im November und einer entsprechenden Absage eines Drittmandats; sie war zwischen den Parteien per E-Mail vereinbart (Textformänderung gemäß Ziffer 5 des Vertrags) und daher kongruent. Im Übrigen hätte unser Mandant die Leistungen im November erbracht, wäre das Verfahren nicht dazwischengekommen.</w:t>
      </w:r>
    </w:p>
    <w:p>
      <w:pPr>
        <w:jc w:val="left"/>
      </w:pPr>
      <w:r>
        <w:t>Zahlungen wird unser Mandant nicht leisten. Einer gerichtlichen Klärung sehen wir mit Gelassenheit entgegen.</w:t>
      </w:r>
    </w:p>
    <w:p>
      <w:pPr>
        <w:jc w:val="left"/>
      </w:pPr>
      <w:r>
        <w:t xml:space="preserve">Mit kollegialen Grüßen — </w:t>
      </w:r>
      <w:r>
        <w:rPr>
          <w:i/>
        </w:rPr>
        <w:t>(gez.) Dr. Selim Okatan, Rechtsanwalt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