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Forderungsanmeldung – Havelbank AG (Darlehen mit Sicherheit)</w:t>
      </w:r>
    </w:p>
    <w:p>
      <w:pPr>
        <w:jc w:val="left"/>
      </w:pPr>
      <w:r>
        <w:rPr>
          <w:b/>
        </w:rPr>
        <w:t>Aktenzeichen:</w:t>
      </w:r>
      <w:r>
        <w:t xml:space="preserve"> 35 IN 417/26</w:t>
      </w:r>
    </w:p>
    <w:p>
      <w:pPr>
        <w:jc w:val="left"/>
      </w:pPr>
      <w:r>
        <w:rPr>
          <w:b/>
        </w:rPr>
        <w:t>Gläubiger-ID (intern):</w:t>
      </w:r>
      <w:r>
        <w:t xml:space="preserve"> G002</w:t>
      </w:r>
    </w:p>
    <w:p>
      <w:pPr>
        <w:jc w:val="left"/>
      </w:pPr>
      <w:r>
        <w:rPr>
          <w:b/>
        </w:rPr>
        <w:t>Eingang:</w:t>
      </w:r>
      <w:r>
        <w:t xml:space="preserve"> 5. Mai 2026</w:t>
      </w:r>
    </w:p>
    <w:p>
      <w:pPr>
        <w:jc w:val="left"/>
      </w:pPr>
      <w:r>
        <w:rPr>
          <w:b/>
        </w:rPr>
        <w:t>Anmeldungstyp:</w:t>
      </w:r>
      <w:r>
        <w:t xml:space="preserve"> Insolvenzforderung mit Absonderungsrecht gemäß §§ 38, 50/51 InsO (Sicherungsübereignung)</w:t>
      </w:r>
    </w:p>
    <w:p/>
    <w:p>
      <w:pPr>
        <w:pStyle w:val="Heading2"/>
      </w:pPr>
      <w:r>
        <w:rPr>
          <w:rFonts w:ascii="Times New Roman" w:hAnsi="Times New Roman"/>
        </w:rPr>
        <w:t>Rubrum</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Gläubigerin</w:t>
            </w:r>
          </w:p>
        </w:tc>
        <w:tc>
          <w:tcPr>
            <w:tcW w:type="dxa" w:w="4536"/>
          </w:tcPr>
          <w:p>
            <w:r>
              <w:rPr>
                <w:rFonts w:ascii="Times New Roman" w:hAnsi="Times New Roman"/>
                <w:sz w:val="20"/>
              </w:rPr>
              <w:t>Havelbank AG</w:t>
            </w:r>
          </w:p>
        </w:tc>
      </w:tr>
      <w:tr>
        <w:tc>
          <w:tcPr>
            <w:tcW w:type="dxa" w:w="4536"/>
          </w:tcPr>
          <w:p>
            <w:r>
              <w:rPr>
                <w:rFonts w:ascii="Times New Roman" w:hAnsi="Times New Roman"/>
                <w:b/>
                <w:sz w:val="20"/>
              </w:rPr>
              <w:t>Anschrift</w:t>
            </w:r>
          </w:p>
        </w:tc>
        <w:tc>
          <w:tcPr>
            <w:tcW w:type="dxa" w:w="4536"/>
          </w:tcPr>
          <w:p>
            <w:r>
              <w:rPr>
                <w:rFonts w:ascii="Times New Roman" w:hAnsi="Times New Roman"/>
                <w:sz w:val="20"/>
              </w:rPr>
              <w:t>Berliner Straße 4, 14467 Potsdam</w:t>
            </w:r>
          </w:p>
        </w:tc>
      </w:tr>
      <w:tr>
        <w:tc>
          <w:tcPr>
            <w:tcW w:type="dxa" w:w="4536"/>
          </w:tcPr>
          <w:p>
            <w:r>
              <w:rPr>
                <w:rFonts w:ascii="Times New Roman" w:hAnsi="Times New Roman"/>
                <w:b/>
                <w:sz w:val="20"/>
              </w:rPr>
              <w:t>Rechtsform</w:t>
            </w:r>
          </w:p>
        </w:tc>
        <w:tc>
          <w:tcPr>
            <w:tcW w:type="dxa" w:w="4536"/>
          </w:tcPr>
          <w:p>
            <w:r>
              <w:rPr>
                <w:rFonts w:ascii="Times New Roman" w:hAnsi="Times New Roman"/>
                <w:sz w:val="20"/>
              </w:rPr>
              <w:t>AG, HRB 12349, AG Potsdam</w:t>
            </w:r>
          </w:p>
        </w:tc>
      </w:tr>
      <w:tr>
        <w:tc>
          <w:tcPr>
            <w:tcW w:type="dxa" w:w="4536"/>
          </w:tcPr>
          <w:p>
            <w:r>
              <w:rPr>
                <w:rFonts w:ascii="Times New Roman" w:hAnsi="Times New Roman"/>
                <w:b/>
                <w:sz w:val="20"/>
              </w:rPr>
              <w:t>Vorstand</w:t>
            </w:r>
          </w:p>
        </w:tc>
        <w:tc>
          <w:tcPr>
            <w:tcW w:type="dxa" w:w="4536"/>
          </w:tcPr>
          <w:p>
            <w:r>
              <w:rPr>
                <w:rFonts w:ascii="Times New Roman" w:hAnsi="Times New Roman"/>
                <w:sz w:val="20"/>
              </w:rPr>
              <w:t>Dr. Renate Fischbach, Andreas Lehmkühler</w:t>
            </w:r>
          </w:p>
        </w:tc>
      </w:tr>
      <w:tr>
        <w:tc>
          <w:tcPr>
            <w:tcW w:type="dxa" w:w="4536"/>
          </w:tcPr>
          <w:p>
            <w:r>
              <w:rPr>
                <w:rFonts w:ascii="Times New Roman" w:hAnsi="Times New Roman"/>
                <w:b/>
                <w:sz w:val="20"/>
              </w:rPr>
              <w:t>Vertreter</w:t>
            </w:r>
          </w:p>
        </w:tc>
        <w:tc>
          <w:tcPr>
            <w:tcW w:type="dxa" w:w="4536"/>
          </w:tcPr>
          <w:p>
            <w:r>
              <w:rPr>
                <w:rFonts w:ascii="Times New Roman" w:hAnsi="Times New Roman"/>
                <w:sz w:val="20"/>
              </w:rPr>
              <w:t>Rechtsanwältin Sandra Kühn, Kanzlei Kühn Insolvenz, Friedrich-Ebert-Straße 3, 14467 Potsdam</w:t>
            </w:r>
          </w:p>
        </w:tc>
      </w:tr>
      <w:tr>
        <w:tc>
          <w:tcPr>
            <w:tcW w:type="dxa" w:w="4536"/>
          </w:tcPr>
          <w:p>
            <w:r>
              <w:rPr>
                <w:rFonts w:ascii="Times New Roman" w:hAnsi="Times New Roman"/>
                <w:b/>
                <w:sz w:val="20"/>
              </w:rPr>
              <w:t>Schuldnerin</w:t>
            </w:r>
          </w:p>
        </w:tc>
        <w:tc>
          <w:tcPr>
            <w:tcW w:type="dxa" w:w="4536"/>
          </w:tcPr>
          <w:p>
            <w:r>
              <w:rPr>
                <w:rFonts w:ascii="Times New Roman" w:hAnsi="Times New Roman"/>
                <w:sz w:val="20"/>
              </w:rPr>
              <w:t>Phoenix Solar Montage GmbH, Am Gewerbepark 8, 14482 Potsdam</w:t>
            </w:r>
          </w:p>
        </w:tc>
      </w:tr>
      <w:tr>
        <w:tc>
          <w:tcPr>
            <w:tcW w:type="dxa" w:w="4536"/>
          </w:tcPr>
          <w:p>
            <w:r>
              <w:rPr>
                <w:rFonts w:ascii="Times New Roman" w:hAnsi="Times New Roman"/>
                <w:b/>
                <w:sz w:val="20"/>
              </w:rPr>
              <w:t>Darlehenskonto</w:t>
            </w:r>
          </w:p>
        </w:tc>
        <w:tc>
          <w:tcPr>
            <w:tcW w:type="dxa" w:w="4536"/>
          </w:tcPr>
          <w:p>
            <w:r>
              <w:rPr>
                <w:rFonts w:ascii="Times New Roman" w:hAnsi="Times New Roman"/>
                <w:sz w:val="20"/>
              </w:rPr>
              <w:t>HB-44-901</w:t>
            </w:r>
          </w:p>
        </w:tc>
      </w:tr>
    </w:tbl>
    <w:p/>
    <w:p>
      <w:pPr>
        <w:pStyle w:val="Heading2"/>
      </w:pPr>
      <w:r>
        <w:rPr>
          <w:rFonts w:ascii="Times New Roman" w:hAnsi="Times New Roman"/>
        </w:rPr>
        <w:t>I. Angemeldete Forderungen</w:t>
      </w:r>
    </w:p>
    <w:p>
      <w:pPr>
        <w:pStyle w:val="Heading3"/>
      </w:pPr>
      <w:r>
        <w:rPr>
          <w:rFonts w:ascii="Times New Roman" w:hAnsi="Times New Roman"/>
        </w:rPr>
        <w:t>Hauptforderung – Betriebsmitteldarlehen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 (EUR)</w:t>
            </w:r>
          </w:p>
        </w:tc>
      </w:tr>
      <w:tr>
        <w:tc>
          <w:tcPr>
            <w:tcW w:type="dxa" w:w="4536"/>
          </w:tcPr>
          <w:p>
            <w:r>
              <w:rPr>
                <w:rFonts w:ascii="Times New Roman" w:hAnsi="Times New Roman"/>
                <w:sz w:val="20"/>
              </w:rPr>
              <w:t>Darlehensnominalbetrag (Valutierungsbetrag)</w:t>
            </w:r>
          </w:p>
        </w:tc>
        <w:tc>
          <w:tcPr>
            <w:tcW w:type="dxa" w:w="4536"/>
          </w:tcPr>
          <w:p>
            <w:r>
              <w:rPr>
                <w:rFonts w:ascii="Times New Roman" w:hAnsi="Times New Roman"/>
                <w:sz w:val="20"/>
              </w:rPr>
              <w:t>200.000,00</w:t>
            </w:r>
          </w:p>
        </w:tc>
      </w:tr>
      <w:tr>
        <w:tc>
          <w:tcPr>
            <w:tcW w:type="dxa" w:w="4536"/>
          </w:tcPr>
          <w:p>
            <w:r>
              <w:rPr>
                <w:rFonts w:ascii="Times New Roman" w:hAnsi="Times New Roman"/>
                <w:sz w:val="20"/>
              </w:rPr>
              <w:t>Tilgungsleistungen bis 28.02.2026 (16 Raten à 3.125,00 EUR)</w:t>
            </w:r>
          </w:p>
        </w:tc>
        <w:tc>
          <w:tcPr>
            <w:tcW w:type="dxa" w:w="4536"/>
          </w:tcPr>
          <w:p>
            <w:r>
              <w:rPr>
                <w:rFonts w:ascii="Times New Roman" w:hAnsi="Times New Roman"/>
                <w:sz w:val="20"/>
              </w:rPr>
              <w:t>– 50.000,00</w:t>
            </w:r>
          </w:p>
        </w:tc>
      </w:tr>
      <w:tr>
        <w:tc>
          <w:tcPr>
            <w:tcW w:type="dxa" w:w="4536"/>
          </w:tcPr>
          <w:p>
            <w:r>
              <w:rPr>
                <w:rFonts w:ascii="Times New Roman" w:hAnsi="Times New Roman"/>
                <w:b/>
                <w:sz w:val="20"/>
              </w:rPr>
              <w:t>Offene Hauptforderung zum Eröffnungsstichtag 30.04.2026</w:t>
            </w:r>
          </w:p>
        </w:tc>
        <w:tc>
          <w:tcPr>
            <w:tcW w:type="dxa" w:w="4536"/>
          </w:tcPr>
          <w:p>
            <w:r>
              <w:rPr>
                <w:rFonts w:ascii="Times New Roman" w:hAnsi="Times New Roman"/>
                <w:b/>
                <w:sz w:val="20"/>
              </w:rPr>
              <w:t>150.000,00</w:t>
            </w:r>
          </w:p>
        </w:tc>
      </w:tr>
    </w:tbl>
    <w:p>
      <w:pPr>
        <w:pStyle w:val="Heading3"/>
      </w:pPr>
      <w:r>
        <w:rPr>
          <w:rFonts w:ascii="Times New Roman" w:hAnsi="Times New Roman"/>
        </w:rPr>
        <w:t>Zinsen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Zeitraum</w:t>
            </w:r>
          </w:p>
        </w:tc>
        <w:tc>
          <w:tcPr>
            <w:tcW w:type="dxa" w:w="2268"/>
          </w:tcPr>
          <w:p>
            <w:r>
              <w:rPr>
                <w:rFonts w:ascii="Times New Roman" w:hAnsi="Times New Roman"/>
                <w:b/>
                <w:sz w:val="20"/>
              </w:rPr>
              <w:t>Zinssatz</w:t>
            </w:r>
          </w:p>
        </w:tc>
        <w:tc>
          <w:tcPr>
            <w:tcW w:type="dxa" w:w="2268"/>
          </w:tcPr>
          <w:p>
            <w:r>
              <w:rPr>
                <w:rFonts w:ascii="Times New Roman" w:hAnsi="Times New Roman"/>
                <w:b/>
                <w:sz w:val="20"/>
              </w:rPr>
              <w:t>Berechnungsbasis</w:t>
            </w:r>
          </w:p>
        </w:tc>
        <w:tc>
          <w:tcPr>
            <w:tcW w:type="dxa" w:w="2268"/>
          </w:tcPr>
          <w:p>
            <w:r>
              <w:rPr>
                <w:rFonts w:ascii="Times New Roman" w:hAnsi="Times New Roman"/>
                <w:b/>
                <w:sz w:val="20"/>
              </w:rPr>
              <w:t>Betrag (EUR)</w:t>
            </w:r>
          </w:p>
        </w:tc>
      </w:tr>
      <w:tr>
        <w:tc>
          <w:tcPr>
            <w:tcW w:type="dxa" w:w="2268"/>
          </w:tcPr>
          <w:p>
            <w:r>
              <w:rPr>
                <w:rFonts w:ascii="Times New Roman" w:hAnsi="Times New Roman"/>
                <w:sz w:val="20"/>
              </w:rPr>
              <w:t>01.01.2026 – 28.02.2026</w:t>
            </w:r>
          </w:p>
        </w:tc>
        <w:tc>
          <w:tcPr>
            <w:tcW w:type="dxa" w:w="2268"/>
          </w:tcPr>
          <w:p>
            <w:r>
              <w:rPr>
                <w:rFonts w:ascii="Times New Roman" w:hAnsi="Times New Roman"/>
                <w:sz w:val="20"/>
              </w:rPr>
              <w:t>9,50 % p.a.</w:t>
            </w:r>
          </w:p>
        </w:tc>
        <w:tc>
          <w:tcPr>
            <w:tcW w:type="dxa" w:w="2268"/>
          </w:tcPr>
          <w:p>
            <w:r>
              <w:rPr>
                <w:rFonts w:ascii="Times New Roman" w:hAnsi="Times New Roman"/>
                <w:sz w:val="20"/>
              </w:rPr>
              <w:t>155.000,00 EUR × 59 Tage / 365</w:t>
            </w:r>
          </w:p>
        </w:tc>
        <w:tc>
          <w:tcPr>
            <w:tcW w:type="dxa" w:w="2268"/>
          </w:tcPr>
          <w:p>
            <w:r>
              <w:rPr>
                <w:rFonts w:ascii="Times New Roman" w:hAnsi="Times New Roman"/>
                <w:sz w:val="20"/>
              </w:rPr>
              <w:t>2.373,63</w:t>
            </w:r>
          </w:p>
        </w:tc>
      </w:tr>
      <w:tr>
        <w:tc>
          <w:tcPr>
            <w:tcW w:type="dxa" w:w="2268"/>
          </w:tcPr>
          <w:p>
            <w:r>
              <w:rPr>
                <w:rFonts w:ascii="Times New Roman" w:hAnsi="Times New Roman"/>
                <w:sz w:val="20"/>
              </w:rPr>
              <w:t>01.03.2026 – 30.04.2026</w:t>
            </w:r>
          </w:p>
        </w:tc>
        <w:tc>
          <w:tcPr>
            <w:tcW w:type="dxa" w:w="2268"/>
          </w:tcPr>
          <w:p>
            <w:r>
              <w:rPr>
                <w:rFonts w:ascii="Times New Roman" w:hAnsi="Times New Roman"/>
                <w:sz w:val="20"/>
              </w:rPr>
              <w:t>9,50 % p.a.</w:t>
            </w:r>
          </w:p>
        </w:tc>
        <w:tc>
          <w:tcPr>
            <w:tcW w:type="dxa" w:w="2268"/>
          </w:tcPr>
          <w:p>
            <w:r>
              <w:rPr>
                <w:rFonts w:ascii="Times New Roman" w:hAnsi="Times New Roman"/>
                <w:sz w:val="20"/>
              </w:rPr>
              <w:t>150.000,00 EUR × 61 Tage / 365</w:t>
            </w:r>
          </w:p>
        </w:tc>
        <w:tc>
          <w:tcPr>
            <w:tcW w:type="dxa" w:w="2268"/>
          </w:tcPr>
          <w:p>
            <w:r>
              <w:rPr>
                <w:rFonts w:ascii="Times New Roman" w:hAnsi="Times New Roman"/>
                <w:sz w:val="20"/>
              </w:rPr>
              <w:t>2.385,62</w:t>
            </w:r>
          </w:p>
        </w:tc>
      </w:tr>
      <w:tr>
        <w:tc>
          <w:tcPr>
            <w:tcW w:type="dxa" w:w="2268"/>
          </w:tcPr>
          <w:p>
            <w:r>
              <w:rPr>
                <w:rFonts w:ascii="Times New Roman" w:hAnsi="Times New Roman"/>
                <w:b/>
                <w:sz w:val="20"/>
              </w:rPr>
              <w:t>Zinsen gesamt bis Eröffnung</w:t>
            </w:r>
          </w:p>
        </w:tc>
        <w:tc>
          <w:tcPr>
            <w:tcW w:type="dxa" w:w="2268"/>
          </w:tcPr>
          <w:p/>
        </w:tc>
        <w:tc>
          <w:tcPr>
            <w:tcW w:type="dxa" w:w="2268"/>
          </w:tcPr>
          <w:p/>
        </w:tc>
        <w:tc>
          <w:tcPr>
            <w:tcW w:type="dxa" w:w="2268"/>
          </w:tcPr>
          <w:p>
            <w:r>
              <w:rPr>
                <w:rFonts w:ascii="Times New Roman" w:hAnsi="Times New Roman"/>
                <w:b/>
                <w:sz w:val="20"/>
              </w:rPr>
              <w:t>4.759,25</w:t>
            </w:r>
          </w:p>
        </w:tc>
      </w:tr>
    </w:tbl>
    <w:p>
      <w:pPr>
        <w:jc w:val="left"/>
      </w:pPr>
      <w:r>
        <w:rPr>
          <w:i/>
        </w:rPr>
        <w:t>Angemeldete Zinsen laut Einreichung der Havelbank AG: 3.562,50 EUR – dies weicht von der korrekten Berechnung ab (s. Prüfungsbefund Ziffer V).</w:t>
      </w:r>
    </w:p>
    <w:p>
      <w:pPr>
        <w:pStyle w:val="Heading3"/>
      </w:pPr>
      <w:r>
        <w:rPr>
          <w:rFonts w:ascii="Times New Roman" w:hAnsi="Times New Roman"/>
        </w:rPr>
        <w:t>Kosten und Gebühren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 (EUR)</w:t>
            </w:r>
          </w:p>
        </w:tc>
      </w:tr>
      <w:tr>
        <w:tc>
          <w:tcPr>
            <w:tcW w:type="dxa" w:w="4536"/>
          </w:tcPr>
          <w:p>
            <w:r>
              <w:rPr>
                <w:rFonts w:ascii="Times New Roman" w:hAnsi="Times New Roman"/>
                <w:sz w:val="20"/>
              </w:rPr>
              <w:t>Kontoführungsgebühr Q1 2026</w:t>
            </w:r>
          </w:p>
        </w:tc>
        <w:tc>
          <w:tcPr>
            <w:tcW w:type="dxa" w:w="4536"/>
          </w:tcPr>
          <w:p>
            <w:r>
              <w:rPr>
                <w:rFonts w:ascii="Times New Roman" w:hAnsi="Times New Roman"/>
                <w:sz w:val="20"/>
              </w:rPr>
              <w:t>45,00</w:t>
            </w:r>
          </w:p>
        </w:tc>
      </w:tr>
      <w:tr>
        <w:tc>
          <w:tcPr>
            <w:tcW w:type="dxa" w:w="4536"/>
          </w:tcPr>
          <w:p>
            <w:r>
              <w:rPr>
                <w:rFonts w:ascii="Times New Roman" w:hAnsi="Times New Roman"/>
                <w:sz w:val="20"/>
              </w:rPr>
              <w:t>Bearbeitungsgebühr Kündigungsschreiben</w:t>
            </w:r>
          </w:p>
        </w:tc>
        <w:tc>
          <w:tcPr>
            <w:tcW w:type="dxa" w:w="4536"/>
          </w:tcPr>
          <w:p>
            <w:r>
              <w:rPr>
                <w:rFonts w:ascii="Times New Roman" w:hAnsi="Times New Roman"/>
                <w:sz w:val="20"/>
              </w:rPr>
              <w:t>75,00</w:t>
            </w:r>
          </w:p>
        </w:tc>
      </w:tr>
      <w:tr>
        <w:tc>
          <w:tcPr>
            <w:tcW w:type="dxa" w:w="4536"/>
          </w:tcPr>
          <w:p>
            <w:r>
              <w:rPr>
                <w:rFonts w:ascii="Times New Roman" w:hAnsi="Times New Roman"/>
                <w:b/>
                <w:sz w:val="20"/>
              </w:rPr>
              <w:t>Kosten gesamt</w:t>
            </w:r>
          </w:p>
        </w:tc>
        <w:tc>
          <w:tcPr>
            <w:tcW w:type="dxa" w:w="4536"/>
          </w:tcPr>
          <w:p>
            <w:r>
              <w:rPr>
                <w:rFonts w:ascii="Times New Roman" w:hAnsi="Times New Roman"/>
                <w:b/>
                <w:sz w:val="20"/>
              </w:rPr>
              <w:t>120,00</w:t>
            </w:r>
          </w:p>
        </w:tc>
      </w:tr>
    </w:tbl>
    <w:p>
      <w:pPr>
        <w:jc w:val="left"/>
      </w:pPr>
      <w:r>
        <w:rPr>
          <w:b/>
        </w:rPr>
        <w:t>Gesamtanmeldung Havelbank AG (angemeldet):</w:t>
      </w:r>
      <w:r>
        <w:t xml:space="preserve"> 150.000,00 EUR + 3.562,50 EUR + 120,00 EUR = </w:t>
      </w:r>
      <w:r>
        <w:rPr>
          <w:b/>
        </w:rPr>
        <w:t>153.682,50 EUR</w:t>
      </w:r>
    </w:p>
    <w:p/>
    <w:p>
      <w:pPr>
        <w:pStyle w:val="Heading2"/>
      </w:pPr>
      <w:r>
        <w:rPr>
          <w:rFonts w:ascii="Times New Roman" w:hAnsi="Times New Roman"/>
        </w:rPr>
        <w:t>II. Sachverhalt und Darlehensgrundlage</w:t>
      </w:r>
    </w:p>
    <w:p>
      <w:pPr>
        <w:pStyle w:val="Heading3"/>
      </w:pPr>
      <w:r>
        <w:rPr>
          <w:rFonts w:ascii="Times New Roman" w:hAnsi="Times New Roman"/>
        </w:rPr>
        <w:t>Darlehensverhältnis</w:t>
      </w:r>
    </w:p>
    <w:p>
      <w:pPr>
        <w:jc w:val="left"/>
      </w:pPr>
      <w:r>
        <w:t xml:space="preserve">Die Havelbank AG gewährte der Phoenix Solar Montage GmbH mit Darlehensvertrag vom 15. August 2024 (Anlage B1) ein Betriebsmitteldarlehen über </w:t>
      </w:r>
      <w:r>
        <w:rPr>
          <w:b/>
        </w:rPr>
        <w:t>200.000,00 EUR</w:t>
      </w:r>
      <w:r>
        <w:t xml:space="preserve"> mit einer Laufzeit von 5 Jahren (bis 31. Juli 2029). Der Zinssatz beträgt effektiv 9,50 % p.a., gebunden für die ersten 36 Monate. Die monatliche Rate umfasst Tilgung (3.125,00 EUR) und Zinsen.</w:t>
      </w:r>
    </w:p>
    <w:p>
      <w:pPr>
        <w:jc w:val="left"/>
      </w:pPr>
      <w:r>
        <w:t>Nachdem die Rate für März 2026 und April 2026 ausblieb und die Schuldnerin auf Mahnschreiben vom 10. März 2026 (Anlage B2) und 2. April 2026 (Anlage B3) nicht reagierte, kündigte die Havelbank AG das Darlehen mit Schreiben vom 18. April 2026 (Anlage B4) fristlos wegen nachhaltiger Zahlungsunfähigkeit. Der Restbetrag des Darlehens wurde damit sofort fällig.</w:t>
      </w:r>
    </w:p>
    <w:p>
      <w:pPr>
        <w:pStyle w:val="Heading3"/>
      </w:pPr>
      <w:r>
        <w:rPr>
          <w:rFonts w:ascii="Times New Roman" w:hAnsi="Times New Roman"/>
        </w:rPr>
        <w:t>Verwendungszweck</w:t>
      </w:r>
    </w:p>
    <w:p>
      <w:pPr>
        <w:jc w:val="left"/>
      </w:pPr>
      <w:r>
        <w:t>Das Darlehen diente ausweislich des Darlehensvertrags dem Zweck der Finanzierung von Betriebsmitteln (Warenlager, Werkzeuge, Fahrzeuge) sowie der Überbrückung saisonaler Liquiditätsschwankungen. Eine Zweckkontrolle wurde zuletzt bei der Jahresabschlussvorlage 2024 durchgeführt.</w:t>
      </w:r>
    </w:p>
    <w:p/>
    <w:p>
      <w:pPr>
        <w:pStyle w:val="Heading2"/>
      </w:pPr>
      <w:r>
        <w:rPr>
          <w:rFonts w:ascii="Times New Roman" w:hAnsi="Times New Roman"/>
        </w:rPr>
        <w:t>III. Sicherheiten (Absonderungsrecht)</w:t>
      </w:r>
    </w:p>
    <w:p>
      <w:pPr>
        <w:jc w:val="left"/>
      </w:pPr>
      <w:r>
        <w:t>Die Havelbank AG ist Sicherungseigentümerin folgender Gegenstände aufgrund Sicherungsübereignungsvertrag vom 15. August 2024 (Anlage B5):</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Gegenstand</w:t>
            </w:r>
          </w:p>
        </w:tc>
        <w:tc>
          <w:tcPr>
            <w:tcW w:type="dxa" w:w="3024"/>
          </w:tcPr>
          <w:p>
            <w:r>
              <w:rPr>
                <w:rFonts w:ascii="Times New Roman" w:hAnsi="Times New Roman"/>
                <w:b/>
                <w:sz w:val="20"/>
              </w:rPr>
              <w:t>Beschreibung</w:t>
            </w:r>
          </w:p>
        </w:tc>
        <w:tc>
          <w:tcPr>
            <w:tcW w:type="dxa" w:w="3024"/>
          </w:tcPr>
          <w:p>
            <w:r>
              <w:rPr>
                <w:rFonts w:ascii="Times New Roman" w:hAnsi="Times New Roman"/>
                <w:b/>
                <w:sz w:val="20"/>
              </w:rPr>
              <w:t>Ursprünglicher Zeitwert (EUR)</w:t>
            </w:r>
          </w:p>
        </w:tc>
      </w:tr>
      <w:tr>
        <w:tc>
          <w:tcPr>
            <w:tcW w:type="dxa" w:w="3024"/>
          </w:tcPr>
          <w:p>
            <w:r>
              <w:rPr>
                <w:rFonts w:ascii="Times New Roman" w:hAnsi="Times New Roman"/>
                <w:sz w:val="20"/>
              </w:rPr>
              <w:t>Montagefahrzeug 1</w:t>
            </w:r>
          </w:p>
        </w:tc>
        <w:tc>
          <w:tcPr>
            <w:tcW w:type="dxa" w:w="3024"/>
          </w:tcPr>
          <w:p>
            <w:r>
              <w:rPr>
                <w:rFonts w:ascii="Times New Roman" w:hAnsi="Times New Roman"/>
                <w:sz w:val="20"/>
              </w:rPr>
              <w:t>VW Crafter L2 H2, EZ 02/2023</w:t>
            </w:r>
          </w:p>
        </w:tc>
        <w:tc>
          <w:tcPr>
            <w:tcW w:type="dxa" w:w="3024"/>
          </w:tcPr>
          <w:p>
            <w:r>
              <w:rPr>
                <w:rFonts w:ascii="Times New Roman" w:hAnsi="Times New Roman"/>
                <w:sz w:val="20"/>
              </w:rPr>
              <w:t>42.000,00</w:t>
            </w:r>
          </w:p>
        </w:tc>
      </w:tr>
      <w:tr>
        <w:tc>
          <w:tcPr>
            <w:tcW w:type="dxa" w:w="3024"/>
          </w:tcPr>
          <w:p>
            <w:r>
              <w:rPr>
                <w:rFonts w:ascii="Times New Roman" w:hAnsi="Times New Roman"/>
                <w:sz w:val="20"/>
              </w:rPr>
              <w:t>Montagefahrzeug 2</w:t>
            </w:r>
          </w:p>
        </w:tc>
        <w:tc>
          <w:tcPr>
            <w:tcW w:type="dxa" w:w="3024"/>
          </w:tcPr>
          <w:p>
            <w:r>
              <w:rPr>
                <w:rFonts w:ascii="Times New Roman" w:hAnsi="Times New Roman"/>
                <w:sz w:val="20"/>
              </w:rPr>
              <w:t>Ford Transit 2.0 TDCI, EZ 08/2022</w:t>
            </w:r>
          </w:p>
        </w:tc>
        <w:tc>
          <w:tcPr>
            <w:tcW w:type="dxa" w:w="3024"/>
          </w:tcPr>
          <w:p>
            <w:r>
              <w:rPr>
                <w:rFonts w:ascii="Times New Roman" w:hAnsi="Times New Roman"/>
                <w:sz w:val="20"/>
              </w:rPr>
              <w:t>28.000,00</w:t>
            </w:r>
          </w:p>
        </w:tc>
      </w:tr>
      <w:tr>
        <w:tc>
          <w:tcPr>
            <w:tcW w:type="dxa" w:w="3024"/>
          </w:tcPr>
          <w:p>
            <w:r>
              <w:rPr>
                <w:rFonts w:ascii="Times New Roman" w:hAnsi="Times New Roman"/>
                <w:sz w:val="20"/>
              </w:rPr>
              <w:t>Hubarbeitsbühne</w:t>
            </w:r>
          </w:p>
        </w:tc>
        <w:tc>
          <w:tcPr>
            <w:tcW w:type="dxa" w:w="3024"/>
          </w:tcPr>
          <w:p>
            <w:r>
              <w:rPr>
                <w:rFonts w:ascii="Times New Roman" w:hAnsi="Times New Roman"/>
                <w:sz w:val="20"/>
              </w:rPr>
              <w:t>Ruthmann T 210, EZ 2021</w:t>
            </w:r>
          </w:p>
        </w:tc>
        <w:tc>
          <w:tcPr>
            <w:tcW w:type="dxa" w:w="3024"/>
          </w:tcPr>
          <w:p>
            <w:r>
              <w:rPr>
                <w:rFonts w:ascii="Times New Roman" w:hAnsi="Times New Roman"/>
                <w:sz w:val="20"/>
              </w:rPr>
              <w:t>35.000,00</w:t>
            </w:r>
          </w:p>
        </w:tc>
      </w:tr>
      <w:tr>
        <w:tc>
          <w:tcPr>
            <w:tcW w:type="dxa" w:w="3024"/>
          </w:tcPr>
          <w:p>
            <w:r>
              <w:rPr>
                <w:rFonts w:ascii="Times New Roman" w:hAnsi="Times New Roman"/>
                <w:sz w:val="20"/>
              </w:rPr>
              <w:t>Lagerbestand (Rohstoffe/Waren)</w:t>
            </w:r>
          </w:p>
        </w:tc>
        <w:tc>
          <w:tcPr>
            <w:tcW w:type="dxa" w:w="3024"/>
          </w:tcPr>
          <w:p>
            <w:r>
              <w:rPr>
                <w:rFonts w:ascii="Times New Roman" w:hAnsi="Times New Roman"/>
                <w:sz w:val="20"/>
              </w:rPr>
              <w:t>Kabelrollen, Module, Träger laut LV (Anlage B6)</w:t>
            </w:r>
          </w:p>
        </w:tc>
        <w:tc>
          <w:tcPr>
            <w:tcW w:type="dxa" w:w="3024"/>
          </w:tcPr>
          <w:p>
            <w:r>
              <w:rPr>
                <w:rFonts w:ascii="Times New Roman" w:hAnsi="Times New Roman"/>
                <w:sz w:val="20"/>
              </w:rPr>
              <w:t>18.000,00</w:t>
            </w:r>
          </w:p>
        </w:tc>
      </w:tr>
      <w:tr>
        <w:tc>
          <w:tcPr>
            <w:tcW w:type="dxa" w:w="3024"/>
          </w:tcPr>
          <w:p>
            <w:r>
              <w:rPr>
                <w:rFonts w:ascii="Times New Roman" w:hAnsi="Times New Roman"/>
                <w:b/>
                <w:sz w:val="20"/>
              </w:rPr>
              <w:t>Gesamt ursprünglicher Zeitwert</w:t>
            </w:r>
          </w:p>
        </w:tc>
        <w:tc>
          <w:tcPr>
            <w:tcW w:type="dxa" w:w="3024"/>
          </w:tcPr>
          <w:p/>
        </w:tc>
        <w:tc>
          <w:tcPr>
            <w:tcW w:type="dxa" w:w="3024"/>
          </w:tcPr>
          <w:p>
            <w:r>
              <w:rPr>
                <w:rFonts w:ascii="Times New Roman" w:hAnsi="Times New Roman"/>
                <w:b/>
                <w:sz w:val="20"/>
              </w:rPr>
              <w:t>123.000,00</w:t>
            </w:r>
          </w:p>
        </w:tc>
      </w:tr>
    </w:tbl>
    <w:p>
      <w:pPr>
        <w:jc w:val="left"/>
      </w:pPr>
      <w:r>
        <w:rPr>
          <w:b/>
        </w:rPr>
        <w:t>Problem:</w:t>
      </w:r>
      <w:r>
        <w:t xml:space="preserve"> Die Havelbank AG hat zum Zeitpunkt der Anmeldung keine aktuelle Bewertung der Sicherungsgüter vorgelegt. Es fehlt insbesondere:</w:t>
      </w:r>
    </w:p>
    <w:p>
      <w:pPr>
        <w:pStyle w:val="ListNumber"/>
      </w:pPr>
      <w:r>
        <w:t>Ein aktueller Marktwert der Fahrzeuge (z. B. Händlerangebot, DAT-Bewertung oder KFZ-Sachverständigeneinschätzung),</w:t>
      </w:r>
    </w:p>
    <w:p>
      <w:pPr>
        <w:pStyle w:val="ListNumber"/>
      </w:pPr>
      <w:r>
        <w:t>Eine Bestandsaufnahme des Lagerbestands durch den Insolvenzverwalter oder einen Sachverständigen,</w:t>
      </w:r>
    </w:p>
    <w:p>
      <w:pPr>
        <w:pStyle w:val="ListNumber"/>
      </w:pPr>
      <w:r>
        <w:t>Eine Schätzung des voraussichtlichen Verwertungserlöses aus der Sicherungsübereignung.</w:t>
      </w:r>
    </w:p>
    <w:p>
      <w:pPr>
        <w:jc w:val="left"/>
      </w:pPr>
      <w:r>
        <w:t xml:space="preserve">Ohne diese Angaben ist der </w:t>
      </w:r>
      <w:r>
        <w:rPr>
          <w:b/>
        </w:rPr>
        <w:t>Ausfall</w:t>
      </w:r>
      <w:r>
        <w:t xml:space="preserve"> (§ 52 InsO) nicht bezifferbar. Gemäß § 174 Abs. 1 Satz 2 InsO ist die Angabe des Ausfalls jedoch Voraussetzung für die Feststellung der Forderung als einfache Insolvenzforderung. Der Insolvenzverwalter hat ein Nachforderungsschreiben veranlasst (Dokument 13).</w:t>
      </w:r>
    </w:p>
    <w:p/>
    <w:p>
      <w:pPr>
        <w:pStyle w:val="Heading2"/>
      </w:pPr>
      <w:r>
        <w:rPr>
          <w:rFonts w:ascii="Times New Roman" w:hAnsi="Times New Roman"/>
        </w:rPr>
        <w:t>IV. Rangverhältnis</w:t>
      </w:r>
    </w:p>
    <w:p>
      <w:pPr>
        <w:jc w:val="left"/>
      </w:pPr>
      <w:r>
        <w:t>Die Havelbank AG macht ihr Absonderungsrecht (§ 51 Nr. 1 InsO – Sicherungsübereignung) geltend. Die Insolvenzforderung ist nach § 38 InsO als einfache Forderung einzustufen, soweit der Sicherungserlös die Forderung nicht deckt (Ausfall). Bis zur Klärung des Ausfalls wird die Forderung in der Tabelle vorläufig zurückgestellt.</w:t>
      </w:r>
    </w:p>
    <w:p/>
    <w:p>
      <w:pPr>
        <w:pStyle w:val="Heading2"/>
      </w:pPr>
      <w:r>
        <w:rPr>
          <w:rFonts w:ascii="Times New Roman" w:hAnsi="Times New Roman"/>
        </w:rPr>
        <w:t>V. Prüfungsbefund des Insolvenzverwalters</w:t>
      </w:r>
    </w:p>
    <w:p>
      <w:pPr>
        <w:pStyle w:val="Heading3"/>
      </w:pPr>
      <w:r>
        <w:rPr>
          <w:rFonts w:ascii="Times New Roman" w:hAnsi="Times New Roman"/>
        </w:rPr>
        <w:t>Zinsenberechnung</w:t>
      </w:r>
    </w:p>
    <w:p>
      <w:pPr>
        <w:jc w:val="left"/>
      </w:pPr>
      <w:r>
        <w:t>Die angemeldeten Zinsen von 3.562,50 EUR weichen von der korrekten Berechnung ab:</w:t>
      </w:r>
    </w:p>
    <w:p>
      <w:pPr>
        <w:pStyle w:val="ListBullet"/>
      </w:pPr>
      <w:r>
        <w:rPr>
          <w:b/>
        </w:rPr>
        <w:t>Angemeldet:</w:t>
      </w:r>
      <w:r>
        <w:t xml:space="preserve"> 150.000,00 EUR × 9,50 % p.a. × 91 Tage / 365 = 3.562,50 EUR</w:t>
      </w:r>
    </w:p>
    <w:p>
      <w:pPr>
        <w:pStyle w:val="ListBullet"/>
      </w:pPr>
      <w:r>
        <w:rPr>
          <w:b/>
        </w:rPr>
        <w:t>Korrekt</w:t>
      </w:r>
      <w:r>
        <w:t xml:space="preserve"> (unter Berücksichtigung der Tilgung für die ersten 59 Tage des Jahres): 4.759,25 EUR (s. Tabelle oben)</w:t>
      </w:r>
    </w:p>
    <w:p>
      <w:pPr>
        <w:jc w:val="left"/>
      </w:pPr>
      <w:r>
        <w:t>Da die Havelbank AG den niedrigeren Betrag angemeldet hat, ist nur dieser feststellungsfähig (ne ultra petita). Kein Vorteil für den Gläubiger durch die zu niedrige Berechnung; zu hoch wäre jedoch zum Bestreiten gewesen.</w:t>
      </w:r>
    </w:p>
    <w:p>
      <w:pPr>
        <w:jc w:val="left"/>
      </w:pPr>
      <w:r>
        <w:t>Zusätzlich enthalten die angemeldeten Zinsen Tage nach Eröffnung (01.05.2026 ff.), da die Havelbank AG als Zinsendzeitpunkt den 31.05.2026 angegeben hat. Zinsen nach Eröffnung sind gemäß § 39 Abs. 1 Nr. 1 InsO Nachrangforderungen. Der feststellungsfähige Zinsteil beschränkt sich auf den Zeitraum bis zum Eröffnungsdatum 30. April 2026.</w:t>
      </w:r>
    </w:p>
    <w:p>
      <w:pPr>
        <w:pStyle w:val="Heading3"/>
      </w:pPr>
      <w:r>
        <w:rPr>
          <w:rFonts w:ascii="Times New Roman" w:hAnsi="Times New Roman"/>
        </w:rPr>
        <w:t>Vorläufige Prüfentscheidung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Position</w:t>
            </w:r>
          </w:p>
        </w:tc>
        <w:tc>
          <w:tcPr>
            <w:tcW w:type="dxa" w:w="2268"/>
          </w:tcPr>
          <w:p>
            <w:r>
              <w:rPr>
                <w:rFonts w:ascii="Times New Roman" w:hAnsi="Times New Roman"/>
                <w:b/>
                <w:sz w:val="20"/>
              </w:rPr>
              <w:t>Angemeldet</w:t>
            </w:r>
          </w:p>
        </w:tc>
        <w:tc>
          <w:tcPr>
            <w:tcW w:type="dxa" w:w="2268"/>
          </w:tcPr>
          <w:p>
            <w:r>
              <w:rPr>
                <w:rFonts w:ascii="Times New Roman" w:hAnsi="Times New Roman"/>
                <w:b/>
                <w:sz w:val="20"/>
              </w:rPr>
              <w:t>Vorschlag Feststellung</w:t>
            </w:r>
          </w:p>
        </w:tc>
        <w:tc>
          <w:tcPr>
            <w:tcW w:type="dxa" w:w="2268"/>
          </w:tcPr>
          <w:p>
            <w:r>
              <w:rPr>
                <w:rFonts w:ascii="Times New Roman" w:hAnsi="Times New Roman"/>
                <w:b/>
                <w:sz w:val="20"/>
              </w:rPr>
              <w:t>Bestreiten</w:t>
            </w:r>
          </w:p>
        </w:tc>
      </w:tr>
      <w:tr>
        <w:tc>
          <w:tcPr>
            <w:tcW w:type="dxa" w:w="2268"/>
          </w:tcPr>
          <w:p>
            <w:r>
              <w:rPr>
                <w:rFonts w:ascii="Times New Roman" w:hAnsi="Times New Roman"/>
                <w:sz w:val="20"/>
              </w:rPr>
              <w:t>Hauptforderung</w:t>
            </w:r>
          </w:p>
        </w:tc>
        <w:tc>
          <w:tcPr>
            <w:tcW w:type="dxa" w:w="2268"/>
          </w:tcPr>
          <w:p>
            <w:r>
              <w:rPr>
                <w:rFonts w:ascii="Times New Roman" w:hAnsi="Times New Roman"/>
                <w:sz w:val="20"/>
              </w:rPr>
              <w:t>150.000,00</w:t>
            </w:r>
          </w:p>
        </w:tc>
        <w:tc>
          <w:tcPr>
            <w:tcW w:type="dxa" w:w="2268"/>
          </w:tcPr>
          <w:p>
            <w:r>
              <w:rPr>
                <w:rFonts w:ascii="Times New Roman" w:hAnsi="Times New Roman"/>
                <w:b/>
                <w:sz w:val="20"/>
              </w:rPr>
              <w:t>zurückgestellt</w:t>
            </w:r>
          </w:p>
        </w:tc>
        <w:tc>
          <w:tcPr>
            <w:tcW w:type="dxa" w:w="2268"/>
          </w:tcPr>
          <w:p>
            <w:r>
              <w:rPr>
                <w:rFonts w:ascii="Times New Roman" w:hAnsi="Times New Roman"/>
                <w:sz w:val="20"/>
              </w:rPr>
              <w:t>–</w:t>
            </w:r>
          </w:p>
        </w:tc>
      </w:tr>
      <w:tr>
        <w:tc>
          <w:tcPr>
            <w:tcW w:type="dxa" w:w="2268"/>
          </w:tcPr>
          <w:p>
            <w:r>
              <w:rPr>
                <w:rFonts w:ascii="Times New Roman" w:hAnsi="Times New Roman"/>
                <w:sz w:val="20"/>
              </w:rPr>
              <w:t>Zinsen (korrigiert bis 30.04.2026)</w:t>
            </w:r>
          </w:p>
        </w:tc>
        <w:tc>
          <w:tcPr>
            <w:tcW w:type="dxa" w:w="2268"/>
          </w:tcPr>
          <w:p>
            <w:r>
              <w:rPr>
                <w:rFonts w:ascii="Times New Roman" w:hAnsi="Times New Roman"/>
                <w:sz w:val="20"/>
              </w:rPr>
              <w:t>3.562,50</w:t>
            </w:r>
          </w:p>
        </w:tc>
        <w:tc>
          <w:tcPr>
            <w:tcW w:type="dxa" w:w="2268"/>
          </w:tcPr>
          <w:p>
            <w:r>
              <w:rPr>
                <w:rFonts w:ascii="Times New Roman" w:hAnsi="Times New Roman"/>
                <w:b/>
                <w:sz w:val="20"/>
              </w:rPr>
              <w:t>zurückgestellt</w:t>
            </w:r>
          </w:p>
        </w:tc>
        <w:tc>
          <w:tcPr>
            <w:tcW w:type="dxa" w:w="2268"/>
          </w:tcPr>
          <w:p>
            <w:r>
              <w:rPr>
                <w:rFonts w:ascii="Times New Roman" w:hAnsi="Times New Roman"/>
                <w:sz w:val="20"/>
              </w:rPr>
              <w:t>–</w:t>
            </w:r>
          </w:p>
        </w:tc>
      </w:tr>
      <w:tr>
        <w:tc>
          <w:tcPr>
            <w:tcW w:type="dxa" w:w="2268"/>
          </w:tcPr>
          <w:p>
            <w:r>
              <w:rPr>
                <w:rFonts w:ascii="Times New Roman" w:hAnsi="Times New Roman"/>
                <w:sz w:val="20"/>
              </w:rPr>
              <w:t>Kosten</w:t>
            </w:r>
          </w:p>
        </w:tc>
        <w:tc>
          <w:tcPr>
            <w:tcW w:type="dxa" w:w="2268"/>
          </w:tcPr>
          <w:p>
            <w:r>
              <w:rPr>
                <w:rFonts w:ascii="Times New Roman" w:hAnsi="Times New Roman"/>
                <w:sz w:val="20"/>
              </w:rPr>
              <w:t>120,00</w:t>
            </w:r>
          </w:p>
        </w:tc>
        <w:tc>
          <w:tcPr>
            <w:tcW w:type="dxa" w:w="2268"/>
          </w:tcPr>
          <w:p>
            <w:r>
              <w:rPr>
                <w:rFonts w:ascii="Times New Roman" w:hAnsi="Times New Roman"/>
                <w:sz w:val="20"/>
              </w:rPr>
              <w:t>0,00</w:t>
            </w:r>
          </w:p>
        </w:tc>
        <w:tc>
          <w:tcPr>
            <w:tcW w:type="dxa" w:w="2268"/>
          </w:tcPr>
          <w:p>
            <w:r>
              <w:rPr>
                <w:rFonts w:ascii="Times New Roman" w:hAnsi="Times New Roman"/>
                <w:sz w:val="20"/>
              </w:rPr>
              <w:t>120,00</w:t>
            </w:r>
          </w:p>
        </w:tc>
      </w:tr>
    </w:tbl>
    <w:p>
      <w:pPr>
        <w:jc w:val="left"/>
      </w:pPr>
      <w:r>
        <w:t xml:space="preserve">Die gesamte Forderung der Havelbank AG wird bis zur Vorlage der Sicherheitenbewertung und Ausfallbezifferung </w:t>
      </w:r>
      <w:r>
        <w:rPr>
          <w:b/>
        </w:rPr>
        <w:t>zurückgestellt</w:t>
      </w:r>
      <w:r>
        <w:t>. Im Prüfungstermin am 25. Juni 2026 kann kein Feststellungsbeschluss ergehen.</w:t>
      </w:r>
    </w:p>
    <w:p/>
    <w:p>
      <w:pPr>
        <w:pStyle w:val="Heading2"/>
      </w:pPr>
      <w:r>
        <w:rPr>
          <w:rFonts w:ascii="Times New Roman" w:hAnsi="Times New Roman"/>
        </w:rPr>
        <w:t>VI. Weiteres Vorgehen</w:t>
      </w:r>
    </w:p>
    <w:p>
      <w:pPr>
        <w:pStyle w:val="ListNumber"/>
      </w:pPr>
      <w:r>
        <w:t>Nachforderungsschreiben an Havelbank AG (Anlage: Dokument 13).</w:t>
      </w:r>
    </w:p>
    <w:p>
      <w:pPr>
        <w:pStyle w:val="ListNumber"/>
      </w:pPr>
      <w:r>
        <w:t>Der Insolvenzverwalter beauftragt einen KFZ-Sachverständigen zur Bewertung der Montagefahrzeuge und der Hubarbeitsbühne.</w:t>
      </w:r>
    </w:p>
    <w:p>
      <w:pPr>
        <w:pStyle w:val="ListNumber"/>
      </w:pPr>
      <w:r>
        <w:t>Der Insolvenzverwalter führt eine Lagerbestandsaufnahme durch (geplant: 12. Juni 2026).</w:t>
      </w:r>
    </w:p>
    <w:p>
      <w:pPr>
        <w:pStyle w:val="ListNumber"/>
      </w:pPr>
      <w:r>
        <w:t>Nach Vorlage der Bewertung: Berechnung Verwertungsausfall und Feststellung als § 38-Forderung in Höhe des Ausfalls.</w:t>
      </w:r>
    </w:p>
    <w:p/>
    <w:p>
      <w:pPr>
        <w:pStyle w:val="Heading2"/>
      </w:pPr>
      <w:r>
        <w:rPr>
          <w:rFonts w:ascii="Times New Roman" w:hAnsi="Times New Roman"/>
        </w:rPr>
        <w:t>Anlagen</w:t>
      </w:r>
    </w:p>
    <w:p>
      <w:pPr>
        <w:pStyle w:val="ListBullet"/>
      </w:pPr>
      <w:r>
        <w:rPr>
          <w:b/>
        </w:rPr>
        <w:t>B1:</w:t>
      </w:r>
      <w:r>
        <w:t xml:space="preserve"> Darlehensvertrag HB-44-901 vom 15. August 2024</w:t>
      </w:r>
    </w:p>
    <w:p>
      <w:pPr>
        <w:pStyle w:val="ListBullet"/>
      </w:pPr>
      <w:r>
        <w:rPr>
          <w:b/>
        </w:rPr>
        <w:t>B2:</w:t>
      </w:r>
      <w:r>
        <w:t xml:space="preserve"> Mahnschreiben vom 10. März 2026</w:t>
      </w:r>
    </w:p>
    <w:p>
      <w:pPr>
        <w:pStyle w:val="ListBullet"/>
      </w:pPr>
      <w:r>
        <w:rPr>
          <w:b/>
        </w:rPr>
        <w:t>B3:</w:t>
      </w:r>
      <w:r>
        <w:t xml:space="preserve"> Mahnschreiben vom 2. April 2026</w:t>
      </w:r>
    </w:p>
    <w:p>
      <w:pPr>
        <w:pStyle w:val="ListBullet"/>
      </w:pPr>
      <w:r>
        <w:rPr>
          <w:b/>
        </w:rPr>
        <w:t>B4:</w:t>
      </w:r>
      <w:r>
        <w:t xml:space="preserve"> Kündigungsschreiben vom 18. April 2026</w:t>
      </w:r>
    </w:p>
    <w:p>
      <w:pPr>
        <w:pStyle w:val="ListBullet"/>
      </w:pPr>
      <w:r>
        <w:rPr>
          <w:b/>
        </w:rPr>
        <w:t>B5:</w:t>
      </w:r>
      <w:r>
        <w:t xml:space="preserve"> Sicherungsübereignungsvertrag vom 15. August 2024</w:t>
      </w:r>
    </w:p>
    <w:p>
      <w:pPr>
        <w:pStyle w:val="ListBullet"/>
      </w:pPr>
      <w:r>
        <w:rPr>
          <w:b/>
        </w:rPr>
        <w:t>B6:</w:t>
      </w:r>
      <w:r>
        <w:t xml:space="preserve"> Lagerbestandsliste zum Sicherungsübereignungsvertrag (Stand 15.08.2024)</w:t>
      </w:r>
    </w:p>
    <w:p>
      <w:pPr>
        <w:pStyle w:val="ListBullet"/>
      </w:pPr>
      <w:r>
        <w:rPr>
          <w:b/>
        </w:rPr>
        <w:t>B7:</w:t>
      </w:r>
      <w:r>
        <w:t xml:space="preserve"> Kontoauszug Darlehenskonto HB-44-901, Zeitraum Jan.–April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