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Forderungsanmeldung – BKK Handwerk Mitte (Sozialversicherungsbeiträge)</w:t>
      </w:r>
    </w:p>
    <w:p>
      <w:pPr>
        <w:jc w:val="left"/>
      </w:pPr>
      <w:r>
        <w:rPr>
          <w:b/>
        </w:rPr>
        <w:t>Aktenzeichen:</w:t>
      </w:r>
      <w:r>
        <w:t xml:space="preserve"> 35 IN 417/26</w:t>
      </w:r>
    </w:p>
    <w:p>
      <w:pPr>
        <w:jc w:val="left"/>
      </w:pPr>
      <w:r>
        <w:rPr>
          <w:b/>
        </w:rPr>
        <w:t>Gläubiger-ID (intern):</w:t>
      </w:r>
      <w:r>
        <w:t xml:space="preserve"> G004</w:t>
      </w:r>
    </w:p>
    <w:p>
      <w:pPr>
        <w:jc w:val="left"/>
      </w:pPr>
      <w:r>
        <w:rPr>
          <w:b/>
        </w:rPr>
        <w:t>Eingang:</w:t>
      </w:r>
      <w:r>
        <w:t xml:space="preserve"> 9. Mai 2026 (E-Mail), Ergänzungsschreiben 26. Mai 2026</w:t>
      </w:r>
    </w:p>
    <w:p>
      <w:pPr>
        <w:jc w:val="left"/>
      </w:pPr>
      <w:r>
        <w:rPr>
          <w:b/>
        </w:rPr>
        <w:t>Anmeldungstyp:</w:t>
      </w:r>
      <w:r>
        <w:t xml:space="preserve"> Einfache Insolvenzforderung gemäß § 38 InsO (Gesamtsozialversicherungsbeiträge vor Eröffnung)</w:t>
      </w:r>
    </w:p>
    <w:p/>
    <w:p>
      <w:pPr>
        <w:pStyle w:val="Heading2"/>
      </w:pPr>
      <w:r>
        <w:rPr>
          <w:rFonts w:ascii="Times New Roman" w:hAnsi="Times New Roman"/>
        </w:rPr>
        <w:t>Rubrum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Gläubigerin</w:t>
            </w:r>
          </w:p>
        </w:tc>
        <w:tc>
          <w:tcPr>
            <w:tcW w:type="dxa" w:w="4536"/>
          </w:tcPr>
          <w:p>
            <w:r>
              <w:rPr>
                <w:rFonts w:ascii="Times New Roman" w:hAnsi="Times New Roman"/>
                <w:sz w:val="20"/>
              </w:rPr>
              <w:t>BKK Handwerk Mitte, Betriebskrankenkasse</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Postfach 12 40, 14412 Potsdam; Besucheradresse: Hegelallee 38, 14467 Potsdam</w:t>
            </w:r>
          </w:p>
        </w:tc>
      </w:tr>
      <w:tr>
        <w:tc>
          <w:tcPr>
            <w:tcW w:type="dxa" w:w="4536"/>
          </w:tcPr>
          <w:p>
            <w:r>
              <w:rPr>
                <w:rFonts w:ascii="Times New Roman" w:hAnsi="Times New Roman"/>
                <w:b/>
                <w:sz w:val="20"/>
              </w:rPr>
              <w:t>Vertreter</w:t>
            </w:r>
          </w:p>
        </w:tc>
        <w:tc>
          <w:tcPr>
            <w:tcW w:type="dxa" w:w="4536"/>
          </w:tcPr>
          <w:p>
            <w:r>
              <w:rPr>
                <w:rFonts w:ascii="Times New Roman" w:hAnsi="Times New Roman"/>
                <w:sz w:val="20"/>
              </w:rPr>
              <w:t>– (Behörde handelt im Eigenrecht)</w:t>
            </w:r>
          </w:p>
        </w:tc>
      </w:tr>
      <w:tr>
        <w:tc>
          <w:tcPr>
            <w:tcW w:type="dxa" w:w="4536"/>
          </w:tcPr>
          <w:p>
            <w:r>
              <w:rPr>
                <w:rFonts w:ascii="Times New Roman" w:hAnsi="Times New Roman"/>
                <w:b/>
                <w:sz w:val="20"/>
              </w:rPr>
              <w:t>Sachbearbeiterin</w:t>
            </w:r>
          </w:p>
        </w:tc>
        <w:tc>
          <w:tcPr>
            <w:tcW w:type="dxa" w:w="4536"/>
          </w:tcPr>
          <w:p>
            <w:r>
              <w:rPr>
                <w:rFonts w:ascii="Times New Roman" w:hAnsi="Times New Roman"/>
                <w:sz w:val="20"/>
              </w:rPr>
              <w:t>Elke Sorgenlos, Abt. Beitrags- und Forderungsmanagement</w:t>
            </w:r>
          </w:p>
        </w:tc>
      </w:tr>
      <w:tr>
        <w:tc>
          <w:tcPr>
            <w:tcW w:type="dxa" w:w="4536"/>
          </w:tcPr>
          <w:p>
            <w:r>
              <w:rPr>
                <w:rFonts w:ascii="Times New Roman" w:hAnsi="Times New Roman"/>
                <w:b/>
                <w:sz w:val="20"/>
              </w:rPr>
              <w:t>Schuldnerin</w:t>
            </w:r>
          </w:p>
        </w:tc>
        <w:tc>
          <w:tcPr>
            <w:tcW w:type="dxa" w:w="4536"/>
          </w:tcPr>
          <w:p>
            <w:r>
              <w:rPr>
                <w:rFonts w:ascii="Times New Roman" w:hAnsi="Times New Roman"/>
                <w:sz w:val="20"/>
              </w:rPr>
              <w:t>Phoenix Solar Montage GmbH, Am Gewerbepark 8, 14482 Potsdam</w:t>
            </w:r>
          </w:p>
        </w:tc>
      </w:tr>
      <w:tr>
        <w:tc>
          <w:tcPr>
            <w:tcW w:type="dxa" w:w="4536"/>
          </w:tcPr>
          <w:p>
            <w:r>
              <w:rPr>
                <w:rFonts w:ascii="Times New Roman" w:hAnsi="Times New Roman"/>
                <w:b/>
                <w:sz w:val="20"/>
              </w:rPr>
              <w:t>Beitragsnummer Schuldnerin</w:t>
            </w:r>
          </w:p>
        </w:tc>
        <w:tc>
          <w:tcPr>
            <w:tcW w:type="dxa" w:w="4536"/>
          </w:tcPr>
          <w:p>
            <w:r>
              <w:rPr>
                <w:rFonts w:ascii="Times New Roman" w:hAnsi="Times New Roman"/>
                <w:sz w:val="20"/>
              </w:rPr>
              <w:t>BKK-HWM-04711-8821</w:t>
            </w:r>
          </w:p>
        </w:tc>
      </w:tr>
    </w:tbl>
    <w:p/>
    <w:p>
      <w:pPr>
        <w:pStyle w:val="Heading2"/>
      </w:pPr>
      <w:r>
        <w:rPr>
          <w:rFonts w:ascii="Times New Roman" w:hAnsi="Times New Roman"/>
        </w:rPr>
        <w:t>I. Angemeldete Forderungen im Überblick</w:t>
      </w:r>
    </w:p>
    <w:p>
      <w:pPr>
        <w:pStyle w:val="Heading3"/>
      </w:pPr>
      <w:r>
        <w:rPr>
          <w:rFonts w:ascii="Times New Roman" w:hAnsi="Times New Roman"/>
        </w:rPr>
        <w:t>Gesamtsozialversicherungsbeiträge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Monat</w:t>
            </w:r>
          </w:p>
        </w:tc>
        <w:tc>
          <w:tcPr>
            <w:tcW w:type="dxa" w:w="1512"/>
          </w:tcPr>
          <w:p>
            <w:r>
              <w:rPr>
                <w:rFonts w:ascii="Times New Roman" w:hAnsi="Times New Roman"/>
                <w:b/>
                <w:sz w:val="20"/>
              </w:rPr>
              <w:t>Fälligkeit</w:t>
            </w:r>
          </w:p>
        </w:tc>
        <w:tc>
          <w:tcPr>
            <w:tcW w:type="dxa" w:w="1512"/>
          </w:tcPr>
          <w:p>
            <w:r>
              <w:rPr>
                <w:rFonts w:ascii="Times New Roman" w:hAnsi="Times New Roman"/>
                <w:b/>
                <w:sz w:val="20"/>
              </w:rPr>
              <w:t>Arbeitnehmeranteil (EUR)</w:t>
            </w:r>
          </w:p>
        </w:tc>
        <w:tc>
          <w:tcPr>
            <w:tcW w:type="dxa" w:w="1512"/>
          </w:tcPr>
          <w:p>
            <w:r>
              <w:rPr>
                <w:rFonts w:ascii="Times New Roman" w:hAnsi="Times New Roman"/>
                <w:b/>
                <w:sz w:val="20"/>
              </w:rPr>
              <w:t>Arbeitgeberanteil (EUR)</w:t>
            </w:r>
          </w:p>
        </w:tc>
        <w:tc>
          <w:tcPr>
            <w:tcW w:type="dxa" w:w="1512"/>
          </w:tcPr>
          <w:p>
            <w:r>
              <w:rPr>
                <w:rFonts w:ascii="Times New Roman" w:hAnsi="Times New Roman"/>
                <w:b/>
                <w:sz w:val="20"/>
              </w:rPr>
              <w:t>Gesamt (EUR)</w:t>
            </w:r>
          </w:p>
        </w:tc>
        <w:tc>
          <w:tcPr>
            <w:tcW w:type="dxa" w:w="1512"/>
          </w:tcPr>
          <w:p>
            <w:r>
              <w:rPr>
                <w:rFonts w:ascii="Times New Roman" w:hAnsi="Times New Roman"/>
                <w:b/>
                <w:sz w:val="20"/>
              </w:rPr>
              <w:t>Bemerkung</w:t>
            </w:r>
          </w:p>
        </w:tc>
      </w:tr>
      <w:tr>
        <w:tc>
          <w:tcPr>
            <w:tcW w:type="dxa" w:w="1512"/>
          </w:tcPr>
          <w:p>
            <w:r>
              <w:rPr>
                <w:rFonts w:ascii="Times New Roman" w:hAnsi="Times New Roman"/>
                <w:sz w:val="20"/>
              </w:rPr>
              <w:t>Februar 2026</w:t>
            </w:r>
          </w:p>
        </w:tc>
        <w:tc>
          <w:tcPr>
            <w:tcW w:type="dxa" w:w="1512"/>
          </w:tcPr>
          <w:p>
            <w:r>
              <w:rPr>
                <w:rFonts w:ascii="Times New Roman" w:hAnsi="Times New Roman"/>
                <w:sz w:val="20"/>
              </w:rPr>
              <w:t>28.02.2026</w:t>
            </w:r>
          </w:p>
        </w:tc>
        <w:tc>
          <w:tcPr>
            <w:tcW w:type="dxa" w:w="1512"/>
          </w:tcPr>
          <w:p>
            <w:r>
              <w:rPr>
                <w:rFonts w:ascii="Times New Roman" w:hAnsi="Times New Roman"/>
                <w:sz w:val="20"/>
              </w:rPr>
              <w:t>3.810,30</w:t>
            </w:r>
          </w:p>
        </w:tc>
        <w:tc>
          <w:tcPr>
            <w:tcW w:type="dxa" w:w="1512"/>
          </w:tcPr>
          <w:p>
            <w:r>
              <w:rPr>
                <w:rFonts w:ascii="Times New Roman" w:hAnsi="Times New Roman"/>
                <w:sz w:val="20"/>
              </w:rPr>
              <w:t>3.810,30</w:t>
            </w:r>
          </w:p>
        </w:tc>
        <w:tc>
          <w:tcPr>
            <w:tcW w:type="dxa" w:w="1512"/>
          </w:tcPr>
          <w:p>
            <w:r>
              <w:rPr>
                <w:rFonts w:ascii="Times New Roman" w:hAnsi="Times New Roman"/>
                <w:sz w:val="20"/>
              </w:rPr>
              <w:t>7.620,60</w:t>
            </w:r>
          </w:p>
        </w:tc>
        <w:tc>
          <w:tcPr>
            <w:tcW w:type="dxa" w:w="1512"/>
          </w:tcPr>
          <w:p>
            <w:r>
              <w:rPr>
                <w:rFonts w:ascii="Times New Roman" w:hAnsi="Times New Roman"/>
                <w:sz w:val="20"/>
              </w:rPr>
              <w:t>vollständig Insolvenzforderung</w:t>
            </w:r>
          </w:p>
        </w:tc>
      </w:tr>
      <w:tr>
        <w:tc>
          <w:tcPr>
            <w:tcW w:type="dxa" w:w="1512"/>
          </w:tcPr>
          <w:p>
            <w:r>
              <w:rPr>
                <w:rFonts w:ascii="Times New Roman" w:hAnsi="Times New Roman"/>
                <w:sz w:val="20"/>
              </w:rPr>
              <w:t>März 2026</w:t>
            </w:r>
          </w:p>
        </w:tc>
        <w:tc>
          <w:tcPr>
            <w:tcW w:type="dxa" w:w="1512"/>
          </w:tcPr>
          <w:p>
            <w:r>
              <w:rPr>
                <w:rFonts w:ascii="Times New Roman" w:hAnsi="Times New Roman"/>
                <w:sz w:val="20"/>
              </w:rPr>
              <w:t>31.03.2026</w:t>
            </w:r>
          </w:p>
        </w:tc>
        <w:tc>
          <w:tcPr>
            <w:tcW w:type="dxa" w:w="1512"/>
          </w:tcPr>
          <w:p>
            <w:r>
              <w:rPr>
                <w:rFonts w:ascii="Times New Roman" w:hAnsi="Times New Roman"/>
                <w:sz w:val="20"/>
              </w:rPr>
              <w:t>3.840,00</w:t>
            </w:r>
          </w:p>
        </w:tc>
        <w:tc>
          <w:tcPr>
            <w:tcW w:type="dxa" w:w="1512"/>
          </w:tcPr>
          <w:p>
            <w:r>
              <w:rPr>
                <w:rFonts w:ascii="Times New Roman" w:hAnsi="Times New Roman"/>
                <w:sz w:val="20"/>
              </w:rPr>
              <w:t>3.840,00</w:t>
            </w:r>
          </w:p>
        </w:tc>
        <w:tc>
          <w:tcPr>
            <w:tcW w:type="dxa" w:w="1512"/>
          </w:tcPr>
          <w:p>
            <w:r>
              <w:rPr>
                <w:rFonts w:ascii="Times New Roman" w:hAnsi="Times New Roman"/>
                <w:sz w:val="20"/>
              </w:rPr>
              <w:t>7.680,00</w:t>
            </w:r>
          </w:p>
        </w:tc>
        <w:tc>
          <w:tcPr>
            <w:tcW w:type="dxa" w:w="1512"/>
          </w:tcPr>
          <w:p>
            <w:r>
              <w:rPr>
                <w:rFonts w:ascii="Times New Roman" w:hAnsi="Times New Roman"/>
                <w:sz w:val="20"/>
              </w:rPr>
              <w:t>vollständig Insolvenzforderung</w:t>
            </w:r>
          </w:p>
        </w:tc>
      </w:tr>
      <w:tr>
        <w:tc>
          <w:tcPr>
            <w:tcW w:type="dxa" w:w="1512"/>
          </w:tcPr>
          <w:p>
            <w:r>
              <w:rPr>
                <w:rFonts w:ascii="Times New Roman" w:hAnsi="Times New Roman"/>
                <w:sz w:val="20"/>
              </w:rPr>
              <w:t>April 2026 (anteilig bis 30.04.2026)</w:t>
            </w:r>
          </w:p>
        </w:tc>
        <w:tc>
          <w:tcPr>
            <w:tcW w:type="dxa" w:w="1512"/>
          </w:tcPr>
          <w:p>
            <w:r>
              <w:rPr>
                <w:rFonts w:ascii="Times New Roman" w:hAnsi="Times New Roman"/>
                <w:sz w:val="20"/>
              </w:rPr>
              <w:t>30.04.2026</w:t>
            </w:r>
          </w:p>
        </w:tc>
        <w:tc>
          <w:tcPr>
            <w:tcW w:type="dxa" w:w="1512"/>
          </w:tcPr>
          <w:p>
            <w:r>
              <w:rPr>
                <w:rFonts w:ascii="Times New Roman" w:hAnsi="Times New Roman"/>
                <w:sz w:val="20"/>
              </w:rPr>
              <w:t>3.070,06</w:t>
            </w:r>
          </w:p>
        </w:tc>
        <w:tc>
          <w:tcPr>
            <w:tcW w:type="dxa" w:w="1512"/>
          </w:tcPr>
          <w:p>
            <w:r>
              <w:rPr>
                <w:rFonts w:ascii="Times New Roman" w:hAnsi="Times New Roman"/>
                <w:sz w:val="20"/>
              </w:rPr>
              <w:t>3.070,06</w:t>
            </w:r>
          </w:p>
        </w:tc>
        <w:tc>
          <w:tcPr>
            <w:tcW w:type="dxa" w:w="1512"/>
          </w:tcPr>
          <w:p>
            <w:r>
              <w:rPr>
                <w:rFonts w:ascii="Times New Roman" w:hAnsi="Times New Roman"/>
                <w:sz w:val="20"/>
              </w:rPr>
              <w:t>6.140,12</w:t>
            </w:r>
          </w:p>
        </w:tc>
        <w:tc>
          <w:tcPr>
            <w:tcW w:type="dxa" w:w="1512"/>
          </w:tcPr>
          <w:p>
            <w:r>
              <w:rPr>
                <w:rFonts w:ascii="Times New Roman" w:hAnsi="Times New Roman"/>
                <w:b/>
                <w:sz w:val="20"/>
              </w:rPr>
              <w:t>→ nur bis Eröffnung; s. Hinweis</w:t>
            </w:r>
          </w:p>
        </w:tc>
      </w:tr>
      <w:tr>
        <w:tc>
          <w:tcPr>
            <w:tcW w:type="dxa" w:w="1512"/>
          </w:tcPr>
          <w:p>
            <w:r>
              <w:rPr>
                <w:rFonts w:ascii="Times New Roman" w:hAnsi="Times New Roman"/>
                <w:b/>
                <w:sz w:val="20"/>
              </w:rPr>
              <w:t>Summe Hauptforderung</w:t>
            </w:r>
          </w:p>
        </w:tc>
        <w:tc>
          <w:tcPr>
            <w:tcW w:type="dxa" w:w="1512"/>
          </w:tcPr>
          <w:p/>
        </w:tc>
        <w:tc>
          <w:tcPr>
            <w:tcW w:type="dxa" w:w="1512"/>
          </w:tcPr>
          <w:p/>
        </w:tc>
        <w:tc>
          <w:tcPr>
            <w:tcW w:type="dxa" w:w="1512"/>
          </w:tcPr>
          <w:p/>
        </w:tc>
        <w:tc>
          <w:tcPr>
            <w:tcW w:type="dxa" w:w="1512"/>
          </w:tcPr>
          <w:p>
            <w:r>
              <w:rPr>
                <w:rFonts w:ascii="Times New Roman" w:hAnsi="Times New Roman"/>
                <w:b/>
                <w:sz w:val="20"/>
              </w:rPr>
              <w:t>21.440,72</w:t>
            </w:r>
          </w:p>
        </w:tc>
        <w:tc>
          <w:tcPr>
            <w:tcW w:type="dxa" w:w="1512"/>
          </w:tcPr>
          <w:p/>
        </w:tc>
      </w:tr>
    </w:tbl>
    <w:p>
      <w:pPr>
        <w:pStyle w:val="Heading3"/>
      </w:pPr>
      <w:r>
        <w:rPr>
          <w:rFonts w:ascii="Times New Roman" w:hAnsi="Times New Roman"/>
        </w:rPr>
        <w:t>Säumniszuschläge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Zeitraum</w:t>
            </w:r>
          </w:p>
        </w:tc>
        <w:tc>
          <w:tcPr>
            <w:tcW w:type="dxa" w:w="2268"/>
          </w:tcPr>
          <w:p>
            <w:r>
              <w:rPr>
                <w:rFonts w:ascii="Times New Roman" w:hAnsi="Times New Roman"/>
                <w:b/>
                <w:sz w:val="20"/>
              </w:rPr>
              <w:t>Betrag (EUR)</w:t>
            </w:r>
          </w:p>
        </w:tc>
        <w:tc>
          <w:tcPr>
            <w:tcW w:type="dxa" w:w="2268"/>
          </w:tcPr>
          <w:p>
            <w:r>
              <w:rPr>
                <w:rFonts w:ascii="Times New Roman" w:hAnsi="Times New Roman"/>
                <w:b/>
                <w:sz w:val="20"/>
              </w:rPr>
              <w:t>Insolvenzforderung / Masseforderung</w:t>
            </w:r>
          </w:p>
        </w:tc>
      </w:tr>
      <w:tr>
        <w:tc>
          <w:tcPr>
            <w:tcW w:type="dxa" w:w="2268"/>
          </w:tcPr>
          <w:p>
            <w:r>
              <w:rPr>
                <w:rFonts w:ascii="Times New Roman" w:hAnsi="Times New Roman"/>
                <w:sz w:val="20"/>
              </w:rPr>
              <w:t>SZ auf Feb.-Beitrag (§ 24 SGB IV)</w:t>
            </w:r>
          </w:p>
        </w:tc>
        <w:tc>
          <w:tcPr>
            <w:tcW w:type="dxa" w:w="2268"/>
          </w:tcPr>
          <w:p>
            <w:r>
              <w:rPr>
                <w:rFonts w:ascii="Times New Roman" w:hAnsi="Times New Roman"/>
                <w:sz w:val="20"/>
              </w:rPr>
              <w:t>01.03.–30.04.2026</w:t>
            </w:r>
          </w:p>
        </w:tc>
        <w:tc>
          <w:tcPr>
            <w:tcW w:type="dxa" w:w="2268"/>
          </w:tcPr>
          <w:p>
            <w:r>
              <w:rPr>
                <w:rFonts w:ascii="Times New Roman" w:hAnsi="Times New Roman"/>
                <w:sz w:val="20"/>
              </w:rPr>
              <w:t>304,82</w:t>
            </w:r>
          </w:p>
        </w:tc>
        <w:tc>
          <w:tcPr>
            <w:tcW w:type="dxa" w:w="2268"/>
          </w:tcPr>
          <w:p>
            <w:r>
              <w:rPr>
                <w:rFonts w:ascii="Times New Roman" w:hAnsi="Times New Roman"/>
                <w:sz w:val="20"/>
              </w:rPr>
              <w:t>Insolvenzforderung</w:t>
            </w:r>
          </w:p>
        </w:tc>
      </w:tr>
      <w:tr>
        <w:tc>
          <w:tcPr>
            <w:tcW w:type="dxa" w:w="2268"/>
          </w:tcPr>
          <w:p>
            <w:r>
              <w:rPr>
                <w:rFonts w:ascii="Times New Roman" w:hAnsi="Times New Roman"/>
                <w:sz w:val="20"/>
              </w:rPr>
              <w:t>SZ auf März-Beitrag</w:t>
            </w:r>
          </w:p>
        </w:tc>
        <w:tc>
          <w:tcPr>
            <w:tcW w:type="dxa" w:w="2268"/>
          </w:tcPr>
          <w:p>
            <w:r>
              <w:rPr>
                <w:rFonts w:ascii="Times New Roman" w:hAnsi="Times New Roman"/>
                <w:sz w:val="20"/>
              </w:rPr>
              <w:t>01.04.–30.04.2026</w:t>
            </w:r>
          </w:p>
        </w:tc>
        <w:tc>
          <w:tcPr>
            <w:tcW w:type="dxa" w:w="2268"/>
          </w:tcPr>
          <w:p>
            <w:r>
              <w:rPr>
                <w:rFonts w:ascii="Times New Roman" w:hAnsi="Times New Roman"/>
                <w:sz w:val="20"/>
              </w:rPr>
              <w:t>153,60</w:t>
            </w:r>
          </w:p>
        </w:tc>
        <w:tc>
          <w:tcPr>
            <w:tcW w:type="dxa" w:w="2268"/>
          </w:tcPr>
          <w:p>
            <w:r>
              <w:rPr>
                <w:rFonts w:ascii="Times New Roman" w:hAnsi="Times New Roman"/>
                <w:sz w:val="20"/>
              </w:rPr>
              <w:t>Insolvenzforderung</w:t>
            </w:r>
          </w:p>
        </w:tc>
      </w:tr>
      <w:tr>
        <w:tc>
          <w:tcPr>
            <w:tcW w:type="dxa" w:w="2268"/>
          </w:tcPr>
          <w:p>
            <w:r>
              <w:rPr>
                <w:rFonts w:ascii="Times New Roman" w:hAnsi="Times New Roman"/>
                <w:sz w:val="20"/>
              </w:rPr>
              <w:t>SZ auf April-Beitrag (angesetzt bis 15.05.2026)</w:t>
            </w:r>
          </w:p>
        </w:tc>
        <w:tc>
          <w:tcPr>
            <w:tcW w:type="dxa" w:w="2268"/>
          </w:tcPr>
          <w:p>
            <w:r>
              <w:rPr>
                <w:rFonts w:ascii="Times New Roman" w:hAnsi="Times New Roman"/>
                <w:sz w:val="20"/>
              </w:rPr>
              <w:t>01.05.–15.05.2026</w:t>
            </w:r>
          </w:p>
        </w:tc>
        <w:tc>
          <w:tcPr>
            <w:tcW w:type="dxa" w:w="2268"/>
          </w:tcPr>
          <w:p>
            <w:r>
              <w:rPr>
                <w:rFonts w:ascii="Times New Roman" w:hAnsi="Times New Roman"/>
                <w:sz w:val="20"/>
              </w:rPr>
              <w:t>92,10</w:t>
            </w:r>
          </w:p>
        </w:tc>
        <w:tc>
          <w:tcPr>
            <w:tcW w:type="dxa" w:w="2268"/>
          </w:tcPr>
          <w:p>
            <w:r>
              <w:rPr>
                <w:rFonts w:ascii="Times New Roman" w:hAnsi="Times New Roman"/>
                <w:b/>
                <w:sz w:val="20"/>
              </w:rPr>
              <w:t>fraglich: Masseforderung</w:t>
            </w:r>
          </w:p>
        </w:tc>
      </w:tr>
      <w:tr>
        <w:tc>
          <w:tcPr>
            <w:tcW w:type="dxa" w:w="2268"/>
          </w:tcPr>
          <w:p>
            <w:r>
              <w:rPr>
                <w:rFonts w:ascii="Times New Roman" w:hAnsi="Times New Roman"/>
                <w:b/>
                <w:sz w:val="20"/>
              </w:rPr>
              <w:t>Gesamt Säumniszuschläge angemeldet</w:t>
            </w:r>
          </w:p>
        </w:tc>
        <w:tc>
          <w:tcPr>
            <w:tcW w:type="dxa" w:w="2268"/>
          </w:tcPr>
          <w:p/>
        </w:tc>
        <w:tc>
          <w:tcPr>
            <w:tcW w:type="dxa" w:w="2268"/>
          </w:tcPr>
          <w:p>
            <w:r>
              <w:rPr>
                <w:rFonts w:ascii="Times New Roman" w:hAnsi="Times New Roman"/>
                <w:b/>
                <w:sz w:val="20"/>
              </w:rPr>
              <w:t>550,52</w:t>
            </w:r>
          </w:p>
        </w:tc>
        <w:tc>
          <w:tcPr>
            <w:tcW w:type="dxa" w:w="2268"/>
          </w:tcPr>
          <w:p/>
        </w:tc>
      </w:tr>
    </w:tbl>
    <w:p>
      <w:pPr>
        <w:jc w:val="left"/>
      </w:pPr>
      <w:r>
        <w:rPr>
          <w:b/>
        </w:rPr>
        <w:t>Angemeldeter Gesamtbetrag (Erstanmeldung):</w:t>
      </w:r>
      <w:r>
        <w:t xml:space="preserve"> 21.440,72 EUR + 550,52 EUR = </w:t>
      </w:r>
      <w:r>
        <w:rPr>
          <w:b/>
        </w:rPr>
        <w:t>21.991,24 EUR</w:t>
      </w:r>
    </w:p>
    <w:p/>
    <w:p>
      <w:pPr>
        <w:pStyle w:val="Heading2"/>
      </w:pPr>
      <w:r>
        <w:rPr>
          <w:rFonts w:ascii="Times New Roman" w:hAnsi="Times New Roman"/>
        </w:rPr>
        <w:t>II. Sachverhalt und Entstehungsgrund</w:t>
      </w:r>
    </w:p>
    <w:p>
      <w:pPr>
        <w:pStyle w:val="Heading3"/>
      </w:pPr>
      <w:r>
        <w:rPr>
          <w:rFonts w:ascii="Times New Roman" w:hAnsi="Times New Roman"/>
        </w:rPr>
        <w:t>Beitragsrückstände</w:t>
      </w:r>
    </w:p>
    <w:p>
      <w:pPr>
        <w:jc w:val="left"/>
      </w:pPr>
      <w:r>
        <w:t>Die Phoenix Solar Montage GmbH beschäftigte im relevanten Zeitraum Februar bis April 2026 im Monatsdurchschnitt 14 Arbeitnehmer, die bei der BKK Handwerk Mitte krankenversichert waren. Der Gesamtsozialversicherungsbeitrag (Kranken-, Pflege-, Renten- und Arbeitslosenversicherung) war monatlich nach § 23 Abs. 1 SGB IV am drittletzten Bankarbeitstag des jeweiligen Monats fällig.</w:t>
      </w:r>
    </w:p>
    <w:p>
      <w:pPr>
        <w:jc w:val="left"/>
      </w:pPr>
      <w:r>
        <w:t>Die Beiträge für Februar und März 2026 wurden weder fristgerecht noch nach Mahnung gezahlt. Die BKK Handwerk Mitte hat mit Schreiben vom 20. März 2026 (Anlage D1) und 10. April 2026 (Anlage D2) gemahnt. Vollstreckungsmaßnahmen scheiterten; nach Eingang des Insolvenzantrags wurde die Vollstreckung eingestellt.</w:t>
      </w:r>
    </w:p>
    <w:p>
      <w:pPr>
        <w:pStyle w:val="Heading3"/>
      </w:pPr>
      <w:r>
        <w:rPr>
          <w:rFonts w:ascii="Times New Roman" w:hAnsi="Times New Roman"/>
        </w:rPr>
        <w:t>April-Beiträge und Abgrenzungsproblem</w:t>
      </w:r>
    </w:p>
    <w:p>
      <w:pPr>
        <w:jc w:val="left"/>
      </w:pPr>
      <w:r>
        <w:t>Das Insolvenzverfahren wurde am 30. April 2026, 08:00 Uhr eröffnet. Der April-Gesamtsozialversicherungsbeitrag ist nur zu dem Teil Insolvenzforderung, der auf Beschäftigungsverhältnisse vor der Eröffnung entfällt. Da der 30. April 2026 im Eröffnungszeitpunkt liegt, ist folgende Abgrenzung vorzunehmen:</w:t>
      </w:r>
    </w:p>
    <w:p>
      <w:pPr>
        <w:pStyle w:val="ListBullet"/>
      </w:pPr>
      <w:r>
        <w:t xml:space="preserve">Beitrag für die </w:t>
      </w:r>
      <w:r>
        <w:rPr>
          <w:b/>
        </w:rPr>
        <w:t>Arbeit bis 29. April 2026</w:t>
      </w:r>
      <w:r>
        <w:t xml:space="preserve"> (29 Tage von 30): Insolvenzforderung (§ 38 InsO).</w:t>
      </w:r>
    </w:p>
    <w:p>
      <w:pPr>
        <w:pStyle w:val="ListBullet"/>
      </w:pPr>
      <w:r>
        <w:t xml:space="preserve">Beitrag für die </w:t>
      </w:r>
      <w:r>
        <w:rPr>
          <w:b/>
        </w:rPr>
        <w:t>Arbeit am 30. April 2026 ab Eröffnung um 08:00 Uhr</w:t>
      </w:r>
      <w:r>
        <w:t>: Masseverbindlichkeit (§ 55 Abs. 1 Nr. 2 InsO), da das Arbeitsverhältnis erst durch Kündigung des Insolvenzverwalters endet.</w:t>
      </w:r>
    </w:p>
    <w:p>
      <w:pPr>
        <w:jc w:val="left"/>
      </w:pPr>
      <w:r>
        <w:t>Die BKK Handwerk Mitte hat den April-Beitrag ursprünglich ungeteilt als Insolvenzforderung angemeldet und mit dem Ergänzungsschreiben vom 26. Mai 2026 (Anlage D3) klargestellt, dass sie eine anteilige Berechnung (29/30 als Insolvenzforderung) akzeptiert.</w:t>
      </w:r>
    </w:p>
    <w:p>
      <w:pPr>
        <w:jc w:val="left"/>
      </w:pPr>
      <w:r>
        <w:rPr>
          <w:b/>
        </w:rPr>
        <w:t>Anteilige Berechnung:</w:t>
      </w:r>
    </w:p>
    <w:p>
      <w:pPr>
        <w:pStyle w:val="ListBullet"/>
      </w:pPr>
      <w:r>
        <w:t>April-Gesamtbeitrag: 6.314,00 EUR (Vollmonat)</w:t>
      </w:r>
    </w:p>
    <w:p>
      <w:pPr>
        <w:pStyle w:val="ListBullet"/>
      </w:pPr>
      <w:r>
        <w:t>Als Insolvenzforderung (29/30): 6.103,33 EUR</w:t>
      </w:r>
    </w:p>
    <w:p>
      <w:pPr>
        <w:pStyle w:val="ListBullet"/>
      </w:pPr>
      <w:r>
        <w:t>Als Masseforderung (1/30): 210,47 EUR (gesondert anzumelden beim Insolvenzverwalter)</w:t>
      </w:r>
    </w:p>
    <w:p>
      <w:pPr>
        <w:jc w:val="left"/>
      </w:pPr>
      <w:r>
        <w:rPr>
          <w:i/>
        </w:rPr>
        <w:t>Die BKK Handwerk Mitte hat die Masseforderung im Ergänzungsschreiben separat aufgeführt und aus der Insolvenztabellenanmeldung herausgenommen.</w:t>
      </w:r>
    </w:p>
    <w:p>
      <w:pPr>
        <w:pStyle w:val="Heading3"/>
      </w:pPr>
      <w:r>
        <w:rPr>
          <w:rFonts w:ascii="Times New Roman" w:hAnsi="Times New Roman"/>
        </w:rPr>
        <w:t>Säumniszuschläge nach Eröffnung</w:t>
      </w:r>
    </w:p>
    <w:p>
      <w:pPr>
        <w:jc w:val="left"/>
      </w:pPr>
      <w:r>
        <w:t>Säumniszuschläge, die auf Zeiträume nach dem Eröffnungsdatum entfallen, sind keine Insolvenzforderungen. Der angemeldete Säumniszuschlag für den Zeitraum 1. bis 15. Mai 2026 (92,10 EUR) entfällt daher. Der Insolvenzverwalter hat dies mit dem Nachforderungsschreiben mitgeteilt.</w:t>
      </w:r>
    </w:p>
    <w:p/>
    <w:p>
      <w:pPr>
        <w:pStyle w:val="Heading2"/>
      </w:pPr>
      <w:r>
        <w:rPr>
          <w:rFonts w:ascii="Times New Roman" w:hAnsi="Times New Roman"/>
        </w:rPr>
        <w:t>III. Insolvenzgeldvorrangige Forderungen</w:t>
      </w:r>
    </w:p>
    <w:p>
      <w:pPr>
        <w:jc w:val="left"/>
      </w:pPr>
      <w:r>
        <w:t>Nach § 183 SGB III übernimmt die Bundesagentur für Arbeit auf Antrag der Arbeitnehmer das Insolvenzgeld für die letzten drei Monate vor dem Insolvenzereignis (hier: bis 30. April 2026, also für Februar, März, April 2026). Soweit die Arbeitnehmer Insolvenzgeld beziehen, geht der Lohnanspruch gemäß § 187 SGB III auf die Bundesagentur für Arbeit über. Dies hat für die SV-Beiträge Folgeeffekte: Soweit auf Lohnzahlungen, für die Insolvenzgeld geleistet wurde, bereits Beiträge abgeführt wurden oder werden, sind diese Beiträge von der Insolvenzgeldsicherung erfasst. Die Bundesagentur für Arbeit kann insoweit als Massegläubiger auftreten.</w:t>
      </w:r>
    </w:p>
    <w:p>
      <w:pPr>
        <w:jc w:val="left"/>
      </w:pPr>
      <w:r>
        <w:t>Der Insolvenzverwalter prüft, ob für einzelne Arbeitnehmer Insolvenzgeld beantragt wurde und ob dies Auswirkungen auf die BKK-Beitragsforderung hat. Entsprechende Abstimmung mit dem Jobcenter und der Bundesagentur läuft (Eingang Anfrage 19. Mai 2026, Dokument Eingangsstapel lfd. Nr. 30).</w:t>
      </w:r>
    </w:p>
    <w:p/>
    <w:p>
      <w:pPr>
        <w:pStyle w:val="Heading2"/>
      </w:pPr>
      <w:r>
        <w:rPr>
          <w:rFonts w:ascii="Times New Roman" w:hAnsi="Times New Roman"/>
        </w:rPr>
        <w:t>IV. Prüfungsbefund und Vorläufige Prüfentscheidung</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Position</w:t>
            </w:r>
          </w:p>
        </w:tc>
        <w:tc>
          <w:tcPr>
            <w:tcW w:type="dxa" w:w="1814"/>
          </w:tcPr>
          <w:p>
            <w:r>
              <w:rPr>
                <w:rFonts w:ascii="Times New Roman" w:hAnsi="Times New Roman"/>
                <w:b/>
                <w:sz w:val="20"/>
              </w:rPr>
              <w:t>Angemeldet (EUR)</w:t>
            </w:r>
          </w:p>
        </w:tc>
        <w:tc>
          <w:tcPr>
            <w:tcW w:type="dxa" w:w="1814"/>
          </w:tcPr>
          <w:p>
            <w:r>
              <w:rPr>
                <w:rFonts w:ascii="Times New Roman" w:hAnsi="Times New Roman"/>
                <w:b/>
                <w:sz w:val="20"/>
              </w:rPr>
              <w:t>Vorschlag Feststellung (EUR)</w:t>
            </w:r>
          </w:p>
        </w:tc>
        <w:tc>
          <w:tcPr>
            <w:tcW w:type="dxa" w:w="1814"/>
          </w:tcPr>
          <w:p>
            <w:r>
              <w:rPr>
                <w:rFonts w:ascii="Times New Roman" w:hAnsi="Times New Roman"/>
                <w:b/>
                <w:sz w:val="20"/>
              </w:rPr>
              <w:t>Bestreiten/Korrektur (EUR)</w:t>
            </w:r>
          </w:p>
        </w:tc>
        <w:tc>
          <w:tcPr>
            <w:tcW w:type="dxa" w:w="1814"/>
          </w:tcPr>
          <w:p>
            <w:r>
              <w:rPr>
                <w:rFonts w:ascii="Times New Roman" w:hAnsi="Times New Roman"/>
                <w:b/>
                <w:sz w:val="20"/>
              </w:rPr>
              <w:t>Anmerkung</w:t>
            </w:r>
          </w:p>
        </w:tc>
      </w:tr>
      <w:tr>
        <w:tc>
          <w:tcPr>
            <w:tcW w:type="dxa" w:w="1814"/>
          </w:tcPr>
          <w:p>
            <w:r>
              <w:rPr>
                <w:rFonts w:ascii="Times New Roman" w:hAnsi="Times New Roman"/>
                <w:sz w:val="20"/>
              </w:rPr>
              <w:t>SV-Beiträge Februar 2026</w:t>
            </w:r>
          </w:p>
        </w:tc>
        <w:tc>
          <w:tcPr>
            <w:tcW w:type="dxa" w:w="1814"/>
          </w:tcPr>
          <w:p>
            <w:r>
              <w:rPr>
                <w:rFonts w:ascii="Times New Roman" w:hAnsi="Times New Roman"/>
                <w:sz w:val="20"/>
              </w:rPr>
              <w:t>7.620,60</w:t>
            </w:r>
          </w:p>
        </w:tc>
        <w:tc>
          <w:tcPr>
            <w:tcW w:type="dxa" w:w="1814"/>
          </w:tcPr>
          <w:p>
            <w:r>
              <w:rPr>
                <w:rFonts w:ascii="Times New Roman" w:hAnsi="Times New Roman"/>
                <w:sz w:val="20"/>
              </w:rPr>
              <w:t>7.620,60</w:t>
            </w:r>
          </w:p>
        </w:tc>
        <w:tc>
          <w:tcPr>
            <w:tcW w:type="dxa" w:w="1814"/>
          </w:tcPr>
          <w:p>
            <w:r>
              <w:rPr>
                <w:rFonts w:ascii="Times New Roman" w:hAnsi="Times New Roman"/>
                <w:sz w:val="20"/>
              </w:rPr>
              <w:t>0,00</w:t>
            </w:r>
          </w:p>
        </w:tc>
        <w:tc>
          <w:tcPr>
            <w:tcW w:type="dxa" w:w="1814"/>
          </w:tcPr>
          <w:p>
            <w:r>
              <w:rPr>
                <w:rFonts w:ascii="Times New Roman" w:hAnsi="Times New Roman"/>
                <w:sz w:val="20"/>
              </w:rPr>
              <w:t>§ 38 InsO</w:t>
            </w:r>
          </w:p>
        </w:tc>
      </w:tr>
      <w:tr>
        <w:tc>
          <w:tcPr>
            <w:tcW w:type="dxa" w:w="1814"/>
          </w:tcPr>
          <w:p>
            <w:r>
              <w:rPr>
                <w:rFonts w:ascii="Times New Roman" w:hAnsi="Times New Roman"/>
                <w:sz w:val="20"/>
              </w:rPr>
              <w:t>SV-Beiträge März 2026</w:t>
            </w:r>
          </w:p>
        </w:tc>
        <w:tc>
          <w:tcPr>
            <w:tcW w:type="dxa" w:w="1814"/>
          </w:tcPr>
          <w:p>
            <w:r>
              <w:rPr>
                <w:rFonts w:ascii="Times New Roman" w:hAnsi="Times New Roman"/>
                <w:sz w:val="20"/>
              </w:rPr>
              <w:t>7.680,00</w:t>
            </w:r>
          </w:p>
        </w:tc>
        <w:tc>
          <w:tcPr>
            <w:tcW w:type="dxa" w:w="1814"/>
          </w:tcPr>
          <w:p>
            <w:r>
              <w:rPr>
                <w:rFonts w:ascii="Times New Roman" w:hAnsi="Times New Roman"/>
                <w:sz w:val="20"/>
              </w:rPr>
              <w:t>7.680,00</w:t>
            </w:r>
          </w:p>
        </w:tc>
        <w:tc>
          <w:tcPr>
            <w:tcW w:type="dxa" w:w="1814"/>
          </w:tcPr>
          <w:p>
            <w:r>
              <w:rPr>
                <w:rFonts w:ascii="Times New Roman" w:hAnsi="Times New Roman"/>
                <w:sz w:val="20"/>
              </w:rPr>
              <w:t>0,00</w:t>
            </w:r>
          </w:p>
        </w:tc>
        <w:tc>
          <w:tcPr>
            <w:tcW w:type="dxa" w:w="1814"/>
          </w:tcPr>
          <w:p>
            <w:r>
              <w:rPr>
                <w:rFonts w:ascii="Times New Roman" w:hAnsi="Times New Roman"/>
                <w:sz w:val="20"/>
              </w:rPr>
              <w:t>§ 38 InsO</w:t>
            </w:r>
          </w:p>
        </w:tc>
      </w:tr>
      <w:tr>
        <w:tc>
          <w:tcPr>
            <w:tcW w:type="dxa" w:w="1814"/>
          </w:tcPr>
          <w:p>
            <w:r>
              <w:rPr>
                <w:rFonts w:ascii="Times New Roman" w:hAnsi="Times New Roman"/>
                <w:sz w:val="20"/>
              </w:rPr>
              <w:t>SV-Beiträge April 2026 (anteilig 29/30)</w:t>
            </w:r>
          </w:p>
        </w:tc>
        <w:tc>
          <w:tcPr>
            <w:tcW w:type="dxa" w:w="1814"/>
          </w:tcPr>
          <w:p>
            <w:r>
              <w:rPr>
                <w:rFonts w:ascii="Times New Roman" w:hAnsi="Times New Roman"/>
                <w:sz w:val="20"/>
              </w:rPr>
              <w:t>6.140,12</w:t>
            </w:r>
          </w:p>
        </w:tc>
        <w:tc>
          <w:tcPr>
            <w:tcW w:type="dxa" w:w="1814"/>
          </w:tcPr>
          <w:p>
            <w:r>
              <w:rPr>
                <w:rFonts w:ascii="Times New Roman" w:hAnsi="Times New Roman"/>
                <w:sz w:val="20"/>
              </w:rPr>
              <w:t>6.103,33</w:t>
            </w:r>
          </w:p>
        </w:tc>
        <w:tc>
          <w:tcPr>
            <w:tcW w:type="dxa" w:w="1814"/>
          </w:tcPr>
          <w:p>
            <w:r>
              <w:rPr>
                <w:rFonts w:ascii="Times New Roman" w:hAnsi="Times New Roman"/>
                <w:sz w:val="20"/>
              </w:rPr>
              <w:t>36,79</w:t>
            </w:r>
          </w:p>
        </w:tc>
        <w:tc>
          <w:tcPr>
            <w:tcW w:type="dxa" w:w="1814"/>
          </w:tcPr>
          <w:p>
            <w:r>
              <w:rPr>
                <w:rFonts w:ascii="Times New Roman" w:hAnsi="Times New Roman"/>
                <w:sz w:val="20"/>
              </w:rPr>
              <w:t>Masseanteil herausgerechnet</w:t>
            </w:r>
          </w:p>
        </w:tc>
      </w:tr>
      <w:tr>
        <w:tc>
          <w:tcPr>
            <w:tcW w:type="dxa" w:w="1814"/>
          </w:tcPr>
          <w:p>
            <w:r>
              <w:rPr>
                <w:rFonts w:ascii="Times New Roman" w:hAnsi="Times New Roman"/>
                <w:sz w:val="20"/>
              </w:rPr>
              <w:t>SZ Feb. (korrekt)</w:t>
            </w:r>
          </w:p>
        </w:tc>
        <w:tc>
          <w:tcPr>
            <w:tcW w:type="dxa" w:w="1814"/>
          </w:tcPr>
          <w:p>
            <w:r>
              <w:rPr>
                <w:rFonts w:ascii="Times New Roman" w:hAnsi="Times New Roman"/>
                <w:sz w:val="20"/>
              </w:rPr>
              <w:t>304,82</w:t>
            </w:r>
          </w:p>
        </w:tc>
        <w:tc>
          <w:tcPr>
            <w:tcW w:type="dxa" w:w="1814"/>
          </w:tcPr>
          <w:p>
            <w:r>
              <w:rPr>
                <w:rFonts w:ascii="Times New Roman" w:hAnsi="Times New Roman"/>
                <w:sz w:val="20"/>
              </w:rPr>
              <w:t>304,82</w:t>
            </w:r>
          </w:p>
        </w:tc>
        <w:tc>
          <w:tcPr>
            <w:tcW w:type="dxa" w:w="1814"/>
          </w:tcPr>
          <w:p>
            <w:r>
              <w:rPr>
                <w:rFonts w:ascii="Times New Roman" w:hAnsi="Times New Roman"/>
                <w:sz w:val="20"/>
              </w:rPr>
              <w:t>0,00</w:t>
            </w:r>
          </w:p>
        </w:tc>
        <w:tc>
          <w:tcPr>
            <w:tcW w:type="dxa" w:w="1814"/>
          </w:tcPr>
          <w:p>
            <w:r>
              <w:rPr>
                <w:rFonts w:ascii="Times New Roman" w:hAnsi="Times New Roman"/>
                <w:sz w:val="20"/>
              </w:rPr>
              <w:t>§ 38 InsO</w:t>
            </w:r>
          </w:p>
        </w:tc>
      </w:tr>
      <w:tr>
        <w:tc>
          <w:tcPr>
            <w:tcW w:type="dxa" w:w="1814"/>
          </w:tcPr>
          <w:p>
            <w:r>
              <w:rPr>
                <w:rFonts w:ascii="Times New Roman" w:hAnsi="Times New Roman"/>
                <w:sz w:val="20"/>
              </w:rPr>
              <w:t>SZ März (korrekt)</w:t>
            </w:r>
          </w:p>
        </w:tc>
        <w:tc>
          <w:tcPr>
            <w:tcW w:type="dxa" w:w="1814"/>
          </w:tcPr>
          <w:p>
            <w:r>
              <w:rPr>
                <w:rFonts w:ascii="Times New Roman" w:hAnsi="Times New Roman"/>
                <w:sz w:val="20"/>
              </w:rPr>
              <w:t>153,60</w:t>
            </w:r>
          </w:p>
        </w:tc>
        <w:tc>
          <w:tcPr>
            <w:tcW w:type="dxa" w:w="1814"/>
          </w:tcPr>
          <w:p>
            <w:r>
              <w:rPr>
                <w:rFonts w:ascii="Times New Roman" w:hAnsi="Times New Roman"/>
                <w:sz w:val="20"/>
              </w:rPr>
              <w:t>153,60</w:t>
            </w:r>
          </w:p>
        </w:tc>
        <w:tc>
          <w:tcPr>
            <w:tcW w:type="dxa" w:w="1814"/>
          </w:tcPr>
          <w:p>
            <w:r>
              <w:rPr>
                <w:rFonts w:ascii="Times New Roman" w:hAnsi="Times New Roman"/>
                <w:sz w:val="20"/>
              </w:rPr>
              <w:t>0,00</w:t>
            </w:r>
          </w:p>
        </w:tc>
        <w:tc>
          <w:tcPr>
            <w:tcW w:type="dxa" w:w="1814"/>
          </w:tcPr>
          <w:p>
            <w:r>
              <w:rPr>
                <w:rFonts w:ascii="Times New Roman" w:hAnsi="Times New Roman"/>
                <w:sz w:val="20"/>
              </w:rPr>
              <w:t>§ 38 InsO</w:t>
            </w:r>
          </w:p>
        </w:tc>
      </w:tr>
      <w:tr>
        <w:tc>
          <w:tcPr>
            <w:tcW w:type="dxa" w:w="1814"/>
          </w:tcPr>
          <w:p>
            <w:r>
              <w:rPr>
                <w:rFonts w:ascii="Times New Roman" w:hAnsi="Times New Roman"/>
                <w:sz w:val="20"/>
              </w:rPr>
              <w:t>SZ April (ab 01.05.: Masse)</w:t>
            </w:r>
          </w:p>
        </w:tc>
        <w:tc>
          <w:tcPr>
            <w:tcW w:type="dxa" w:w="1814"/>
          </w:tcPr>
          <w:p>
            <w:r>
              <w:rPr>
                <w:rFonts w:ascii="Times New Roman" w:hAnsi="Times New Roman"/>
                <w:sz w:val="20"/>
              </w:rPr>
              <w:t>92,10</w:t>
            </w:r>
          </w:p>
        </w:tc>
        <w:tc>
          <w:tcPr>
            <w:tcW w:type="dxa" w:w="1814"/>
          </w:tcPr>
          <w:p>
            <w:r>
              <w:rPr>
                <w:rFonts w:ascii="Times New Roman" w:hAnsi="Times New Roman"/>
                <w:sz w:val="20"/>
              </w:rPr>
              <w:t>0,00</w:t>
            </w:r>
          </w:p>
        </w:tc>
        <w:tc>
          <w:tcPr>
            <w:tcW w:type="dxa" w:w="1814"/>
          </w:tcPr>
          <w:p>
            <w:r>
              <w:rPr>
                <w:rFonts w:ascii="Times New Roman" w:hAnsi="Times New Roman"/>
                <w:sz w:val="20"/>
              </w:rPr>
              <w:t>92,10</w:t>
            </w:r>
          </w:p>
        </w:tc>
        <w:tc>
          <w:tcPr>
            <w:tcW w:type="dxa" w:w="1814"/>
          </w:tcPr>
          <w:p>
            <w:r>
              <w:rPr>
                <w:rFonts w:ascii="Times New Roman" w:hAnsi="Times New Roman"/>
                <w:sz w:val="20"/>
              </w:rPr>
              <w:t>Masseforderung, nicht tabellenfähig</w:t>
            </w:r>
          </w:p>
        </w:tc>
      </w:tr>
      <w:tr>
        <w:tc>
          <w:tcPr>
            <w:tcW w:type="dxa" w:w="1814"/>
          </w:tcPr>
          <w:p>
            <w:r>
              <w:rPr>
                <w:rFonts w:ascii="Times New Roman" w:hAnsi="Times New Roman"/>
                <w:b/>
                <w:sz w:val="20"/>
              </w:rPr>
              <w:t>Gesamt</w:t>
            </w:r>
          </w:p>
        </w:tc>
        <w:tc>
          <w:tcPr>
            <w:tcW w:type="dxa" w:w="1814"/>
          </w:tcPr>
          <w:p>
            <w:r>
              <w:rPr>
                <w:rFonts w:ascii="Times New Roman" w:hAnsi="Times New Roman"/>
                <w:b/>
                <w:sz w:val="20"/>
              </w:rPr>
              <w:t>21.991,24</w:t>
            </w:r>
          </w:p>
        </w:tc>
        <w:tc>
          <w:tcPr>
            <w:tcW w:type="dxa" w:w="1814"/>
          </w:tcPr>
          <w:p>
            <w:r>
              <w:rPr>
                <w:rFonts w:ascii="Times New Roman" w:hAnsi="Times New Roman"/>
                <w:b/>
                <w:sz w:val="20"/>
              </w:rPr>
              <w:t>21.862,35</w:t>
            </w:r>
          </w:p>
        </w:tc>
        <w:tc>
          <w:tcPr>
            <w:tcW w:type="dxa" w:w="1814"/>
          </w:tcPr>
          <w:p>
            <w:r>
              <w:rPr>
                <w:rFonts w:ascii="Times New Roman" w:hAnsi="Times New Roman"/>
                <w:b/>
                <w:sz w:val="20"/>
              </w:rPr>
              <w:t>128,89</w:t>
            </w:r>
          </w:p>
        </w:tc>
        <w:tc>
          <w:tcPr>
            <w:tcW w:type="dxa" w:w="1814"/>
          </w:tcPr>
          <w:p/>
        </w:tc>
      </w:tr>
    </w:tbl>
    <w:p/>
    <w:p>
      <w:pPr>
        <w:pStyle w:val="Heading2"/>
      </w:pPr>
      <w:r>
        <w:rPr>
          <w:rFonts w:ascii="Times New Roman" w:hAnsi="Times New Roman"/>
        </w:rPr>
        <w:t>V. Rangverhältnis</w:t>
      </w:r>
    </w:p>
    <w:p>
      <w:pPr>
        <w:jc w:val="left"/>
      </w:pPr>
      <w:r>
        <w:t>Die Forderung der BKK Handwerk Mitte ist einfache Insolvenzforderung gemäß § 38 InsO. Ein gesetzlicher Vorrang besteht nicht. Sozialversicherungsträger genießen im deutschen Insolvenzrecht seit 1999 kein Absonderungsrecht mehr.</w:t>
      </w:r>
    </w:p>
    <w:p/>
    <w:p>
      <w:pPr>
        <w:pStyle w:val="Heading2"/>
      </w:pPr>
      <w:r>
        <w:rPr>
          <w:rFonts w:ascii="Times New Roman" w:hAnsi="Times New Roman"/>
        </w:rPr>
        <w:t>Anlagen</w:t>
      </w:r>
    </w:p>
    <w:p>
      <w:pPr>
        <w:pStyle w:val="ListBullet"/>
      </w:pPr>
      <w:r>
        <w:rPr>
          <w:b/>
        </w:rPr>
        <w:t>D1:</w:t>
      </w:r>
      <w:r>
        <w:t xml:space="preserve"> Mahnschreiben BKK Handwerk Mitte vom 20. März 2026</w:t>
      </w:r>
    </w:p>
    <w:p>
      <w:pPr>
        <w:pStyle w:val="ListBullet"/>
      </w:pPr>
      <w:r>
        <w:rPr>
          <w:b/>
        </w:rPr>
        <w:t>D2:</w:t>
      </w:r>
      <w:r>
        <w:t xml:space="preserve"> Mahnschreiben BKK Handwerk Mitte vom 10. April 2026</w:t>
      </w:r>
    </w:p>
    <w:p>
      <w:pPr>
        <w:pStyle w:val="ListBullet"/>
      </w:pPr>
      <w:r>
        <w:rPr>
          <w:b/>
        </w:rPr>
        <w:t>D3:</w:t>
      </w:r>
      <w:r>
        <w:t xml:space="preserve"> Ergänzungsschreiben vom 26. Mai 2026 (Zeitraumklärung April)</w:t>
      </w:r>
    </w:p>
    <w:p>
      <w:pPr>
        <w:pStyle w:val="ListBullet"/>
      </w:pPr>
      <w:r>
        <w:rPr>
          <w:b/>
        </w:rPr>
        <w:t>D4:</w:t>
      </w:r>
      <w:r>
        <w:t xml:space="preserve"> Beitragsnachweise Februar, März, April 2026</w:t>
      </w:r>
    </w:p>
    <w:p>
      <w:pPr>
        <w:pStyle w:val="ListBullet"/>
      </w:pPr>
      <w:r>
        <w:rPr>
          <w:b/>
        </w:rPr>
        <w:t>D5:</w:t>
      </w:r>
      <w:r>
        <w:t xml:space="preserve"> Mitgliederliste versicherter Arbeitnehmer der Phoenix Solar Montage GmbH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