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Forderungsanmeldung – Gründerkreis Phoenix GbR (Gesellschafterdarlehen, Nachrang)</w:t>
      </w:r>
    </w:p>
    <w:p>
      <w:pPr>
        <w:jc w:val="left"/>
      </w:pPr>
      <w:r>
        <w:rPr>
          <w:b/>
        </w:rPr>
        <w:t>Aktenzeichen:</w:t>
      </w:r>
      <w:r>
        <w:t xml:space="preserve"> 35 IN 417/26</w:t>
      </w:r>
    </w:p>
    <w:p>
      <w:pPr>
        <w:jc w:val="left"/>
      </w:pPr>
      <w:r>
        <w:rPr>
          <w:b/>
        </w:rPr>
        <w:t>Gläubiger-ID (intern):</w:t>
      </w:r>
      <w:r>
        <w:t xml:space="preserve"> G006</w:t>
      </w:r>
    </w:p>
    <w:p>
      <w:pPr>
        <w:jc w:val="left"/>
      </w:pPr>
      <w:r>
        <w:rPr>
          <w:b/>
        </w:rPr>
        <w:t>Eingang:</w:t>
      </w:r>
      <w:r>
        <w:t xml:space="preserve"> 13. Mai 2026 (E-Mail)</w:t>
      </w:r>
    </w:p>
    <w:p>
      <w:pPr>
        <w:jc w:val="left"/>
      </w:pPr>
      <w:r>
        <w:rPr>
          <w:b/>
        </w:rPr>
        <w:t>Anmeldungstyp:</w:t>
      </w:r>
      <w:r>
        <w:t xml:space="preserve"> Nachrangige Insolvenzforderung gemäß § 39 Abs. 1 Nr. 5 InsO (Gesellschafterdarlehen); Nachrang wird vom Gläubiger bestritten</w:t>
      </w:r>
    </w:p>
    <w:p/>
    <w:p>
      <w:pPr>
        <w:pStyle w:val="Heading2"/>
      </w:pPr>
      <w:r>
        <w:rPr>
          <w:rFonts w:ascii="Times New Roman" w:hAnsi="Times New Roman"/>
        </w:rPr>
        <w:t>Rubrum</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Gläubigerin</w:t>
            </w:r>
          </w:p>
        </w:tc>
        <w:tc>
          <w:tcPr>
            <w:tcW w:type="dxa" w:w="4536"/>
          </w:tcPr>
          <w:p>
            <w:r>
              <w:rPr>
                <w:rFonts w:ascii="Times New Roman" w:hAnsi="Times New Roman"/>
                <w:sz w:val="20"/>
              </w:rPr>
              <w:t>Gründerkreis Phoenix GbR</w:t>
            </w:r>
          </w:p>
        </w:tc>
      </w:tr>
      <w:tr>
        <w:tc>
          <w:tcPr>
            <w:tcW w:type="dxa" w:w="4536"/>
          </w:tcPr>
          <w:p>
            <w:r>
              <w:rPr>
                <w:rFonts w:ascii="Times New Roman" w:hAnsi="Times New Roman"/>
                <w:b/>
                <w:sz w:val="20"/>
              </w:rPr>
              <w:t>Anschrift</w:t>
            </w:r>
          </w:p>
        </w:tc>
        <w:tc>
          <w:tcPr>
            <w:tcW w:type="dxa" w:w="4536"/>
          </w:tcPr>
          <w:p>
            <w:r>
              <w:rPr>
                <w:rFonts w:ascii="Times New Roman" w:hAnsi="Times New Roman"/>
                <w:sz w:val="20"/>
              </w:rPr>
              <w:t>Kantstraße 5, 14471 Potsdam</w:t>
            </w:r>
          </w:p>
        </w:tc>
      </w:tr>
      <w:tr>
        <w:tc>
          <w:tcPr>
            <w:tcW w:type="dxa" w:w="4536"/>
          </w:tcPr>
          <w:p>
            <w:r>
              <w:rPr>
                <w:rFonts w:ascii="Times New Roman" w:hAnsi="Times New Roman"/>
                <w:b/>
                <w:sz w:val="20"/>
              </w:rPr>
              <w:t>Gesellschafter</w:t>
            </w:r>
          </w:p>
        </w:tc>
        <w:tc>
          <w:tcPr>
            <w:tcW w:type="dxa" w:w="4536"/>
          </w:tcPr>
          <w:p>
            <w:r>
              <w:rPr>
                <w:rFonts w:ascii="Times New Roman" w:hAnsi="Times New Roman"/>
                <w:sz w:val="20"/>
              </w:rPr>
              <w:t>Stefan Grunewald (60 %), Patrick Dörner (40 %)</w:t>
            </w:r>
          </w:p>
        </w:tc>
      </w:tr>
      <w:tr>
        <w:tc>
          <w:tcPr>
            <w:tcW w:type="dxa" w:w="4536"/>
          </w:tcPr>
          <w:p>
            <w:r>
              <w:rPr>
                <w:rFonts w:ascii="Times New Roman" w:hAnsi="Times New Roman"/>
                <w:b/>
                <w:sz w:val="20"/>
              </w:rPr>
              <w:t>Gesellschafterstellung</w:t>
            </w:r>
          </w:p>
        </w:tc>
        <w:tc>
          <w:tcPr>
            <w:tcW w:type="dxa" w:w="4536"/>
          </w:tcPr>
          <w:p>
            <w:r>
              <w:rPr>
                <w:rFonts w:ascii="Times New Roman" w:hAnsi="Times New Roman"/>
                <w:sz w:val="20"/>
              </w:rPr>
              <w:t>Stefan Grunewald war bis 31.12.2025 Gesellschafter der Phoenix Solar Montage GmbH mit einem Anteil von 34 %</w:t>
            </w:r>
          </w:p>
        </w:tc>
      </w:tr>
      <w:tr>
        <w:tc>
          <w:tcPr>
            <w:tcW w:type="dxa" w:w="4536"/>
          </w:tcPr>
          <w:p>
            <w:r>
              <w:rPr>
                <w:rFonts w:ascii="Times New Roman" w:hAnsi="Times New Roman"/>
                <w:b/>
                <w:sz w:val="20"/>
              </w:rPr>
              <w:t>Vertreter</w:t>
            </w:r>
          </w:p>
        </w:tc>
        <w:tc>
          <w:tcPr>
            <w:tcW w:type="dxa" w:w="4536"/>
          </w:tcPr>
          <w:p>
            <w:r>
              <w:rPr>
                <w:rFonts w:ascii="Times New Roman" w:hAnsi="Times New Roman"/>
                <w:sz w:val="20"/>
              </w:rPr>
              <w:t>Rechtsanwalt Thomas Limmer, Kanzlei Limmer Wirtschaftsrecht, Dortustraße 18, 14467 Potsdam</w:t>
            </w:r>
          </w:p>
        </w:tc>
      </w:tr>
      <w:tr>
        <w:tc>
          <w:tcPr>
            <w:tcW w:type="dxa" w:w="4536"/>
          </w:tcPr>
          <w:p>
            <w:r>
              <w:rPr>
                <w:rFonts w:ascii="Times New Roman" w:hAnsi="Times New Roman"/>
                <w:b/>
                <w:sz w:val="20"/>
              </w:rPr>
              <w:t>Schuldnerin</w:t>
            </w:r>
          </w:p>
        </w:tc>
        <w:tc>
          <w:tcPr>
            <w:tcW w:type="dxa" w:w="4536"/>
          </w:tcPr>
          <w:p>
            <w:r>
              <w:rPr>
                <w:rFonts w:ascii="Times New Roman" w:hAnsi="Times New Roman"/>
                <w:sz w:val="20"/>
              </w:rPr>
              <w:t>Phoenix Solar Montage GmbH, Am Gewerbepark 8, 14482 Potsdam</w:t>
            </w:r>
          </w:p>
        </w:tc>
      </w:tr>
    </w:tbl>
    <w:p/>
    <w:p>
      <w:pPr>
        <w:pStyle w:val="Heading2"/>
      </w:pPr>
      <w:r>
        <w:rPr>
          <w:rFonts w:ascii="Times New Roman" w:hAnsi="Times New Roman"/>
        </w:rPr>
        <w:t>I. Angemeldete Forderung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Darlehensbetrag (Auszahlung)</w:t>
            </w:r>
          </w:p>
        </w:tc>
        <w:tc>
          <w:tcPr>
            <w:tcW w:type="dxa" w:w="4536"/>
          </w:tcPr>
          <w:p>
            <w:r>
              <w:rPr>
                <w:rFonts w:ascii="Times New Roman" w:hAnsi="Times New Roman"/>
                <w:sz w:val="20"/>
              </w:rPr>
              <w:t>85.000,00</w:t>
            </w:r>
          </w:p>
        </w:tc>
      </w:tr>
      <w:tr>
        <w:tc>
          <w:tcPr>
            <w:tcW w:type="dxa" w:w="4536"/>
          </w:tcPr>
          <w:p>
            <w:r>
              <w:rPr>
                <w:rFonts w:ascii="Times New Roman" w:hAnsi="Times New Roman"/>
                <w:sz w:val="20"/>
              </w:rPr>
              <w:t>Zinsen (7,5 % p.a., 12.08.2024–30.04.2026)</w:t>
            </w:r>
          </w:p>
        </w:tc>
        <w:tc>
          <w:tcPr>
            <w:tcW w:type="dxa" w:w="4536"/>
          </w:tcPr>
          <w:p>
            <w:r>
              <w:rPr>
                <w:rFonts w:ascii="Times New Roman" w:hAnsi="Times New Roman"/>
                <w:sz w:val="20"/>
              </w:rPr>
              <w:t>9.796,23</w:t>
            </w:r>
          </w:p>
        </w:tc>
      </w:tr>
      <w:tr>
        <w:tc>
          <w:tcPr>
            <w:tcW w:type="dxa" w:w="4536"/>
          </w:tcPr>
          <w:p>
            <w:r>
              <w:rPr>
                <w:rFonts w:ascii="Times New Roman" w:hAnsi="Times New Roman"/>
                <w:b/>
                <w:sz w:val="20"/>
              </w:rPr>
              <w:t>Angemeldeter Gesamtbetrag</w:t>
            </w:r>
          </w:p>
        </w:tc>
        <w:tc>
          <w:tcPr>
            <w:tcW w:type="dxa" w:w="4536"/>
          </w:tcPr>
          <w:p>
            <w:r>
              <w:rPr>
                <w:rFonts w:ascii="Times New Roman" w:hAnsi="Times New Roman"/>
                <w:b/>
                <w:sz w:val="20"/>
              </w:rPr>
              <w:t>94.796,23</w:t>
            </w:r>
          </w:p>
        </w:tc>
      </w:tr>
    </w:tbl>
    <w:p>
      <w:pPr>
        <w:jc w:val="left"/>
      </w:pPr>
      <w:r>
        <w:rPr>
          <w:i/>
        </w:rPr>
        <w:t>Die Gläubigerin hat in der Anmeldung lediglich 85.000,00 EUR als Hauptforderung und "bankähnliche Zinsen" erwähnt, ohne den Zinsbetrag konkret beziffert zu haben. Der Insolvenzverwalter hat auf Basis des vorgelegten Darlehensvertrags die Zinsen nachgerechnet.</w:t>
      </w:r>
    </w:p>
    <w:p/>
    <w:p>
      <w:pPr>
        <w:pStyle w:val="Heading2"/>
      </w:pPr>
      <w:r>
        <w:rPr>
          <w:rFonts w:ascii="Times New Roman" w:hAnsi="Times New Roman"/>
        </w:rPr>
        <w:t>II. Sachverhalt und Entstehungsgrund</w:t>
      </w:r>
    </w:p>
    <w:p>
      <w:pPr>
        <w:pStyle w:val="Heading3"/>
      </w:pPr>
      <w:r>
        <w:rPr>
          <w:rFonts w:ascii="Times New Roman" w:hAnsi="Times New Roman"/>
        </w:rPr>
        <w:t>Darlehensbeziehung</w:t>
      </w:r>
    </w:p>
    <w:p>
      <w:pPr>
        <w:jc w:val="left"/>
      </w:pPr>
      <w:r>
        <w:t xml:space="preserve">Die Gründerkreis Phoenix GbR – deren geschäftsführender Gesellschafter Stefan Grunewald war zum Zeitpunkt der Darlehensausreichung Gesellschafter der Schuldnerin mit 34 % – gewährte der Phoenix Solar Montage GmbH mit Darlehensvertrag vom 12. August 2024 (Anlage F1) ein Darlehen über </w:t>
      </w:r>
      <w:r>
        <w:rPr>
          <w:b/>
        </w:rPr>
        <w:t>85.000,00 EUR</w:t>
      </w:r>
      <w:r>
        <w:t>.</w:t>
      </w:r>
    </w:p>
    <w:p>
      <w:pPr>
        <w:jc w:val="left"/>
      </w:pPr>
      <w:r>
        <w:t>Die wesentlichen Darlehenskonditionen laut Vertrag:</w:t>
      </w:r>
    </w:p>
    <w:p>
      <w:pPr>
        <w:pStyle w:val="ListBullet"/>
      </w:pPr>
      <w:r>
        <w:rPr>
          <w:b/>
        </w:rPr>
        <w:t>Darlehensbetrag:</w:t>
      </w:r>
      <w:r>
        <w:t xml:space="preserve"> 85.000,00 EUR</w:t>
      </w:r>
    </w:p>
    <w:p>
      <w:pPr>
        <w:pStyle w:val="ListBullet"/>
      </w:pPr>
      <w:r>
        <w:rPr>
          <w:b/>
        </w:rPr>
        <w:t>Auszahlungsdatum:</w:t>
      </w:r>
      <w:r>
        <w:t xml:space="preserve"> 19. August 2024 (Kontoauszug Anlage F2)</w:t>
      </w:r>
    </w:p>
    <w:p>
      <w:pPr>
        <w:pStyle w:val="ListBullet"/>
      </w:pPr>
      <w:r>
        <w:rPr>
          <w:b/>
        </w:rPr>
        <w:t>Laufzeit:</w:t>
      </w:r>
      <w:r>
        <w:t xml:space="preserve"> bis 31. Dezember 2027 (Kündigungsmöglichkeit mit 6 Monaten Frist)</w:t>
      </w:r>
    </w:p>
    <w:p>
      <w:pPr>
        <w:pStyle w:val="ListBullet"/>
      </w:pPr>
      <w:r>
        <w:rPr>
          <w:b/>
        </w:rPr>
        <w:t>Zinssatz:</w:t>
      </w:r>
      <w:r>
        <w:t xml:space="preserve"> 7,50 % p.a., jährliche Abrechnung</w:t>
      </w:r>
    </w:p>
    <w:p>
      <w:pPr>
        <w:pStyle w:val="ListBullet"/>
      </w:pPr>
      <w:r>
        <w:rPr>
          <w:b/>
        </w:rPr>
        <w:t>Verwendungszweck:</w:t>
      </w:r>
      <w:r>
        <w:t xml:space="preserve"> Finanzierung Betriebserweiterung / neue Montagekapazitäten</w:t>
      </w:r>
    </w:p>
    <w:p>
      <w:pPr>
        <w:pStyle w:val="ListBullet"/>
      </w:pPr>
      <w:r>
        <w:rPr>
          <w:b/>
        </w:rPr>
        <w:t>Sicherheit:</w:t>
      </w:r>
      <w:r>
        <w:t xml:space="preserve"> keine explizit vereinbarte Sicherheit (ungesichertes Darlehen)</w:t>
      </w:r>
    </w:p>
    <w:p>
      <w:pPr>
        <w:pStyle w:val="ListBullet"/>
      </w:pPr>
      <w:r>
        <w:rPr>
          <w:b/>
        </w:rPr>
        <w:t>Rangregelung:</w:t>
      </w:r>
      <w:r>
        <w:t xml:space="preserve"> keine ausdrückliche Nachrangerklärung im Vertrag</w:t>
      </w:r>
    </w:p>
    <w:p>
      <w:pPr>
        <w:pStyle w:val="Heading3"/>
      </w:pPr>
      <w:r>
        <w:rPr>
          <w:rFonts w:ascii="Times New Roman" w:hAnsi="Times New Roman"/>
        </w:rPr>
        <w:t>Gesellschafterstellung</w:t>
      </w:r>
    </w:p>
    <w:p>
      <w:pPr>
        <w:jc w:val="left"/>
      </w:pPr>
      <w:r>
        <w:t>Stefan Grunewald war bis zum 31. Dezember 2025 Gesellschafter der Phoenix Solar Montage GmbH. Am 1. Januar 2026 veräußerte er seinen Gesellschaftsanteil (34 %) an den Mitgesellschafter Marcus Wendler (Geschäftsführer). Die Abtretung wurde im Handelsregister am 15. Januar 2026 eingetragen (HR-Auszug Anlage F3).</w:t>
      </w:r>
    </w:p>
    <w:p>
      <w:pPr>
        <w:jc w:val="left"/>
      </w:pPr>
      <w:r>
        <w:rPr>
          <w:b/>
        </w:rPr>
        <w:t>Für die Nachrangfrage maßgeblicher Zeitpunkt</w:t>
      </w:r>
      <w:r>
        <w:t xml:space="preserve"> ist gemäß § 39 Abs. 1 Nr. 5 InsO das Bestehen einer </w:t>
      </w:r>
      <w:r>
        <w:rPr>
          <w:b/>
        </w:rPr>
        <w:t>Gesellschafterstellung</w:t>
      </w:r>
      <w:r>
        <w:t xml:space="preserve"> – entweder bei Darlehensgewährung oder bei Eröffnung. Grunewald hatte das Darlehen am 12. August 2024 als Gesellschafter (34 %) der Schuldnerin gewährt. Er hat seinen Anteil 17 Monate später veräußert. Ob das Kleinbeteiligtenprivileg (§ 39 Abs. 5 InsO) greift, ist zu prüfen (s.u.).</w:t>
      </w:r>
    </w:p>
    <w:p/>
    <w:p>
      <w:pPr>
        <w:pStyle w:val="Heading2"/>
      </w:pPr>
      <w:r>
        <w:rPr>
          <w:rFonts w:ascii="Times New Roman" w:hAnsi="Times New Roman"/>
        </w:rPr>
        <w:t>III. Rechtliche Beurteilung des Nachrangs</w:t>
      </w:r>
    </w:p>
    <w:p>
      <w:pPr>
        <w:pStyle w:val="Heading3"/>
      </w:pPr>
      <w:r>
        <w:rPr>
          <w:rFonts w:ascii="Times New Roman" w:hAnsi="Times New Roman"/>
        </w:rPr>
        <w:t>Tatbestand § 39 Abs. 1 Nr. 5 InsO</w:t>
      </w:r>
    </w:p>
    <w:p>
      <w:pPr>
        <w:jc w:val="left"/>
      </w:pPr>
      <w:r>
        <w:t>Gemäß § 39 Abs. 1 Nr. 5 InsO sind im Insolvenzverfahren einer Gesellschaft nachrangig zu befriedigen: Forderungen auf Rückgewähr eines Gesellschafterdarlehens oder Forderungen aus Rechtshandlungen, die einem solchen Darlehen wirtschaftlich entsprechen.</w:t>
      </w:r>
    </w:p>
    <w:p>
      <w:pPr>
        <w:jc w:val="left"/>
      </w:pPr>
      <w:r>
        <w:t xml:space="preserve">Voraussetzung ist, dass der Gläubiger </w:t>
      </w:r>
      <w:r>
        <w:rPr>
          <w:b/>
        </w:rPr>
        <w:t>Gesellschafter</w:t>
      </w:r>
      <w:r>
        <w:t xml:space="preserve"> war. Bei der Gründerkreis Phoenix GbR ist Gesellschafter Stefan Grunewald, der zum Zeitpunkt der Darlehensgewährung (12. August 2024) einen Anteil von 34 % an der Schuldnerin hielt. Das Darlehen wurde durch die GbR als seine Gesellschaft an die Phoenix Solar Montage GmbH ausgereicht. Wirtschaftlich ist Stefan Grunewald als Darlehensgeber anzusehen.</w:t>
      </w:r>
    </w:p>
    <w:p>
      <w:pPr>
        <w:pStyle w:val="Heading3"/>
      </w:pPr>
      <w:r>
        <w:rPr>
          <w:rFonts w:ascii="Times New Roman" w:hAnsi="Times New Roman"/>
        </w:rPr>
        <w:t>Kleinbeteiligtenprivileg (§ 39 Abs. 5 InsO)</w:t>
      </w:r>
    </w:p>
    <w:p>
      <w:pPr>
        <w:jc w:val="left"/>
      </w:pPr>
      <w:r>
        <w:t xml:space="preserve">Gemäß § 39 Abs. 5 InsO gilt der Nachrang für Gesellschafter, die </w:t>
      </w:r>
      <w:r>
        <w:rPr>
          <w:b/>
        </w:rPr>
        <w:t>nicht mehr als 10 %</w:t>
      </w:r>
      <w:r>
        <w:t xml:space="preserve"> des Stammkapitals halten oder gehalten haben und nicht Geschäftsführer sind, nicht (sog. Kleinbeteiligtenprivileg).</w:t>
      </w:r>
    </w:p>
    <w:p>
      <w:pPr>
        <w:jc w:val="left"/>
      </w:pPr>
      <w:r>
        <w:t xml:space="preserve">Stefan Grunewald hielt 34 % der Anteile und war kein Geschäftsführer. Das Kleinbeteiligtenprivileg greift daher </w:t>
      </w:r>
      <w:r>
        <w:rPr>
          <w:b/>
        </w:rPr>
        <w:t>nicht</w:t>
      </w:r>
      <w:r>
        <w:t xml:space="preserve"> (Beteiligung &gt; 10 %).</w:t>
      </w:r>
    </w:p>
    <w:p>
      <w:pPr>
        <w:pStyle w:val="Heading3"/>
      </w:pPr>
      <w:r>
        <w:rPr>
          <w:rFonts w:ascii="Times New Roman" w:hAnsi="Times New Roman"/>
        </w:rPr>
        <w:t>Argument des Gläubigers: bankähnliche Verzinsung</w:t>
      </w:r>
    </w:p>
    <w:p>
      <w:pPr>
        <w:jc w:val="left"/>
      </w:pPr>
      <w:r>
        <w:t xml:space="preserve">Der Bevollmächtigte RA Limmer trägt vor, das Darlehen sei zu bankähnlichen Konditionen (7,5 % p.a.) gewährt worden und daher </w:t>
      </w:r>
      <w:r>
        <w:rPr>
          <w:b/>
        </w:rPr>
        <w:t>nicht</w:t>
      </w:r>
      <w:r>
        <w:t xml:space="preserve"> als typisches Gesellschafterdarlehen anzusehen, das einem Darlehen einer fremden Partei wirtschaftlich entspreche. Dieser Argumentation ist nach der Rechtsprechung des BGH (BGH, Urt. v. 21.02.2013 – IX ZR 32/12; BGH, Urt. v. 26.01.2009 – II ZR 213/07) nicht zu folgen:</w:t>
      </w:r>
    </w:p>
    <w:p>
      <w:pPr>
        <w:pStyle w:val="ListBullet"/>
      </w:pPr>
      <w:r>
        <w:t>Der Nachrangttatbestand des § 39 Abs. 1 Nr. 5 InsO knüpft allein an die Gesellschafterstellung an, nicht an die wirtschaftliche Ausgestaltung des Darlehens.</w:t>
      </w:r>
    </w:p>
    <w:p>
      <w:pPr>
        <w:pStyle w:val="ListBullet"/>
      </w:pPr>
      <w:r>
        <w:t>Die Höhe des Zinssatzes ist für den Tatbestand unerheblich; entscheidend ist die Gesellschaftereigenschaft bei Darlehensgewährung.</w:t>
      </w:r>
    </w:p>
    <w:p>
      <w:pPr>
        <w:pStyle w:val="ListBullet"/>
      </w:pPr>
      <w:r>
        <w:t>Ein bankähnlicher Zinssatz kann allenfalls Indiz für ein fremdübliches Geschäft sein, schließt aber den Nachrang nicht aus.</w:t>
      </w:r>
    </w:p>
    <w:p>
      <w:pPr>
        <w:jc w:val="left"/>
      </w:pPr>
      <w:r>
        <w:rPr>
          <w:b/>
        </w:rPr>
        <w:t>Ergebnis der rechtlichen Prüfung:</w:t>
      </w:r>
      <w:r>
        <w:t xml:space="preserve"> Die Forderung der Gründerkreis Phoenix GbR ist als </w:t>
      </w:r>
      <w:r>
        <w:rPr>
          <w:b/>
        </w:rPr>
        <w:t>nachrangige Insolvenzforderung gemäß § 39 Abs. 1 Nr. 5 InsO</w:t>
      </w:r>
      <w:r>
        <w:t xml:space="preserve"> einzustufen. Dies gilt für Hauptforderung und Zinsen gleichermaßen.</w:t>
      </w:r>
    </w:p>
    <w:p>
      <w:pPr>
        <w:pStyle w:val="Heading3"/>
      </w:pPr>
      <w:r>
        <w:rPr>
          <w:rFonts w:ascii="Times New Roman" w:hAnsi="Times New Roman"/>
        </w:rPr>
        <w:t>Anteilsveräußerung nach Darlehensgewährung</w:t>
      </w:r>
    </w:p>
    <w:p>
      <w:pPr>
        <w:jc w:val="left"/>
      </w:pPr>
      <w:r>
        <w:t>Die Abtretung der Gesellschaftsanteile an Marcus Wendler zum 1. Januar 2026 ändert an der Nachrangqualifikation nichts. Der BGH hat entschieden (BGH, Urt. v. 13.10.2022 – IX ZR 28/21), dass der Nachrang einer Darlehensrückzahlungsforderung bestehen bleibt, wenn das Darlehen zur Zeit der Gesellschafterstellung gewährt wurde, auch wenn die Gesellschafterstellung danach aufgegeben wird. Der Stichtag ist die Darlehensgewährung.</w:t>
      </w:r>
    </w:p>
    <w:p/>
    <w:p>
      <w:pPr>
        <w:pStyle w:val="Heading2"/>
      </w:pPr>
      <w:r>
        <w:rPr>
          <w:rFonts w:ascii="Times New Roman" w:hAnsi="Times New Roman"/>
        </w:rPr>
        <w:t>IV. Prüfungsbefund und Prüfentscheidung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Angemeldet (EUR)</w:t>
            </w:r>
          </w:p>
        </w:tc>
        <w:tc>
          <w:tcPr>
            <w:tcW w:type="dxa" w:w="2268"/>
          </w:tcPr>
          <w:p>
            <w:r>
              <w:rPr>
                <w:rFonts w:ascii="Times New Roman" w:hAnsi="Times New Roman"/>
                <w:b/>
                <w:sz w:val="20"/>
              </w:rPr>
              <w:t>Vorschlag</w:t>
            </w:r>
          </w:p>
        </w:tc>
        <w:tc>
          <w:tcPr>
            <w:tcW w:type="dxa" w:w="2268"/>
          </w:tcPr>
          <w:p>
            <w:r>
              <w:rPr>
                <w:rFonts w:ascii="Times New Roman" w:hAnsi="Times New Roman"/>
                <w:b/>
                <w:sz w:val="20"/>
              </w:rPr>
              <w:t>Bemerkung</w:t>
            </w:r>
          </w:p>
        </w:tc>
      </w:tr>
      <w:tr>
        <w:tc>
          <w:tcPr>
            <w:tcW w:type="dxa" w:w="2268"/>
          </w:tcPr>
          <w:p>
            <w:r>
              <w:rPr>
                <w:rFonts w:ascii="Times New Roman" w:hAnsi="Times New Roman"/>
                <w:sz w:val="20"/>
              </w:rPr>
              <w:t>Hauptforderung</w:t>
            </w:r>
          </w:p>
        </w:tc>
        <w:tc>
          <w:tcPr>
            <w:tcW w:type="dxa" w:w="2268"/>
          </w:tcPr>
          <w:p>
            <w:r>
              <w:rPr>
                <w:rFonts w:ascii="Times New Roman" w:hAnsi="Times New Roman"/>
                <w:sz w:val="20"/>
              </w:rPr>
              <w:t>85.000,00</w:t>
            </w:r>
          </w:p>
        </w:tc>
        <w:tc>
          <w:tcPr>
            <w:tcW w:type="dxa" w:w="2268"/>
          </w:tcPr>
          <w:p>
            <w:r>
              <w:rPr>
                <w:rFonts w:ascii="Times New Roman" w:hAnsi="Times New Roman"/>
                <w:sz w:val="20"/>
              </w:rPr>
              <w:t>Feststellung als Nachrangforderung § 39 Abs. 1 Nr. 5 InsO</w:t>
            </w:r>
          </w:p>
        </w:tc>
        <w:tc>
          <w:tcPr>
            <w:tcW w:type="dxa" w:w="2268"/>
          </w:tcPr>
          <w:p>
            <w:r>
              <w:rPr>
                <w:rFonts w:ascii="Times New Roman" w:hAnsi="Times New Roman"/>
                <w:sz w:val="20"/>
              </w:rPr>
              <w:t>erst nach Befriedigung aller § 38-Gläubiger</w:t>
            </w:r>
          </w:p>
        </w:tc>
      </w:tr>
      <w:tr>
        <w:tc>
          <w:tcPr>
            <w:tcW w:type="dxa" w:w="2268"/>
          </w:tcPr>
          <w:p>
            <w:r>
              <w:rPr>
                <w:rFonts w:ascii="Times New Roman" w:hAnsi="Times New Roman"/>
                <w:sz w:val="20"/>
              </w:rPr>
              <w:t>Zinsen (7,5 %)</w:t>
            </w:r>
          </w:p>
        </w:tc>
        <w:tc>
          <w:tcPr>
            <w:tcW w:type="dxa" w:w="2268"/>
          </w:tcPr>
          <w:p>
            <w:r>
              <w:rPr>
                <w:rFonts w:ascii="Times New Roman" w:hAnsi="Times New Roman"/>
                <w:sz w:val="20"/>
              </w:rPr>
              <w:t>9.796,23</w:t>
            </w:r>
          </w:p>
        </w:tc>
        <w:tc>
          <w:tcPr>
            <w:tcW w:type="dxa" w:w="2268"/>
          </w:tcPr>
          <w:p>
            <w:r>
              <w:rPr>
                <w:rFonts w:ascii="Times New Roman" w:hAnsi="Times New Roman"/>
                <w:sz w:val="20"/>
              </w:rPr>
              <w:t>Feststellung als Nachrangforderung</w:t>
            </w:r>
          </w:p>
        </w:tc>
        <w:tc>
          <w:tcPr>
            <w:tcW w:type="dxa" w:w="2268"/>
          </w:tcPr>
          <w:p>
            <w:r>
              <w:rPr>
                <w:rFonts w:ascii="Times New Roman" w:hAnsi="Times New Roman"/>
                <w:sz w:val="20"/>
              </w:rPr>
              <w:t>§ 39 Abs. 1 Nr. 5 InsO</w:t>
            </w:r>
          </w:p>
        </w:tc>
      </w:tr>
      <w:tr>
        <w:tc>
          <w:tcPr>
            <w:tcW w:type="dxa" w:w="2268"/>
          </w:tcPr>
          <w:p>
            <w:r>
              <w:rPr>
                <w:rFonts w:ascii="Times New Roman" w:hAnsi="Times New Roman"/>
                <w:b/>
                <w:sz w:val="20"/>
              </w:rPr>
              <w:t>Gesamt</w:t>
            </w:r>
          </w:p>
        </w:tc>
        <w:tc>
          <w:tcPr>
            <w:tcW w:type="dxa" w:w="2268"/>
          </w:tcPr>
          <w:p>
            <w:r>
              <w:rPr>
                <w:rFonts w:ascii="Times New Roman" w:hAnsi="Times New Roman"/>
                <w:b/>
                <w:sz w:val="20"/>
              </w:rPr>
              <w:t>94.796,23</w:t>
            </w:r>
          </w:p>
        </w:tc>
        <w:tc>
          <w:tcPr>
            <w:tcW w:type="dxa" w:w="2268"/>
          </w:tcPr>
          <w:p>
            <w:r>
              <w:rPr>
                <w:rFonts w:ascii="Times New Roman" w:hAnsi="Times New Roman"/>
                <w:sz w:val="20"/>
              </w:rPr>
              <w:t>nachrangig</w:t>
            </w:r>
          </w:p>
        </w:tc>
        <w:tc>
          <w:tcPr>
            <w:tcW w:type="dxa" w:w="2268"/>
          </w:tcPr>
          <w:p>
            <w:r>
              <w:rPr>
                <w:rFonts w:ascii="Times New Roman" w:hAnsi="Times New Roman"/>
                <w:sz w:val="20"/>
              </w:rPr>
              <w:t>Rang 5 nach § 39 Abs. 1 Nr. 5 InsO</w:t>
            </w:r>
          </w:p>
        </w:tc>
      </w:tr>
    </w:tbl>
    <w:p>
      <w:pPr>
        <w:jc w:val="left"/>
      </w:pPr>
      <w:r>
        <w:t xml:space="preserve">Im Prüfungstermin am 25. Juni 2026 erhebt der Insolvenzverwalter </w:t>
      </w:r>
      <w:r>
        <w:rPr>
          <w:b/>
        </w:rPr>
        <w:t>keinen Widerspruch gegen den Betrag</w:t>
      </w:r>
      <w:r>
        <w:t xml:space="preserve">, wohl aber gegen den </w:t>
      </w:r>
      <w:r>
        <w:rPr>
          <w:b/>
        </w:rPr>
        <w:t>geltend gemachten Rang</w:t>
      </w:r>
      <w:r>
        <w:t xml:space="preserve"> (§ 38 statt § 39). Die Forderung wird als nachrangige Insolvenzforderung eingetragen.</w:t>
      </w:r>
    </w:p>
    <w:p>
      <w:pPr>
        <w:jc w:val="left"/>
      </w:pPr>
      <w:r>
        <w:t>Der Gläubigervertreter RA Limmer kündigt an, den Nachrang im Streitfall gerichtlich überprüfen zu lassen.</w:t>
      </w:r>
    </w:p>
    <w:p/>
    <w:p>
      <w:pPr>
        <w:pStyle w:val="Heading2"/>
      </w:pPr>
      <w:r>
        <w:rPr>
          <w:rFonts w:ascii="Times New Roman" w:hAnsi="Times New Roman"/>
        </w:rPr>
        <w:t>V. Verteilungsrelevanz</w:t>
      </w:r>
    </w:p>
    <w:p>
      <w:pPr>
        <w:jc w:val="left"/>
      </w:pPr>
      <w:r>
        <w:t>Bei realistischer Einschätzung der Insolvenzmasse (geschätztes Aktivvermögen: ca. 210.000,00 EUR, Verfahrenskosten ca. 45.000,00 EUR, vorrangige Forderungen gemäß § 38 InsO: ca. 200.000,00 EUR) wird nach vorläufiger Prüfung kein Verteilungsbetrag auf Nachrangforderungen entfallen. Die Gründerkreis Phoenix GbR wird voraussichtlich einen vollständigen Forderungsausfall erleiden.</w:t>
      </w:r>
    </w:p>
    <w:p/>
    <w:p>
      <w:pPr>
        <w:pStyle w:val="Heading2"/>
      </w:pPr>
      <w:r>
        <w:rPr>
          <w:rFonts w:ascii="Times New Roman" w:hAnsi="Times New Roman"/>
        </w:rPr>
        <w:t>Anlagen</w:t>
      </w:r>
    </w:p>
    <w:p>
      <w:pPr>
        <w:pStyle w:val="ListBullet"/>
      </w:pPr>
      <w:r>
        <w:rPr>
          <w:b/>
        </w:rPr>
        <w:t>F1:</w:t>
      </w:r>
      <w:r>
        <w:t xml:space="preserve"> Darlehensvertrag vom 12. August 2024</w:t>
      </w:r>
    </w:p>
    <w:p>
      <w:pPr>
        <w:pStyle w:val="ListBullet"/>
      </w:pPr>
      <w:r>
        <w:rPr>
          <w:b/>
        </w:rPr>
        <w:t>F2:</w:t>
      </w:r>
      <w:r>
        <w:t xml:space="preserve"> Kontoauszug Auszahlungsbeleg 19. August 2024</w:t>
      </w:r>
    </w:p>
    <w:p>
      <w:pPr>
        <w:pStyle w:val="ListBullet"/>
      </w:pPr>
      <w:r>
        <w:rPr>
          <w:b/>
        </w:rPr>
        <w:t>F3:</w:t>
      </w:r>
      <w:r>
        <w:t xml:space="preserve"> Handelsregistereintrag Anteilsabtretung Januar 2026 (HR-Auszug)</w:t>
      </w:r>
    </w:p>
    <w:p>
      <w:pPr>
        <w:pStyle w:val="ListBullet"/>
      </w:pPr>
      <w:r>
        <w:rPr>
          <w:b/>
        </w:rPr>
        <w:t>F4:</w:t>
      </w:r>
      <w:r>
        <w:t xml:space="preserve"> Gesellschafterliste Phoenix Solar Montage GmbH zum 12. August 2024</w:t>
      </w:r>
    </w:p>
    <w:p>
      <w:pPr>
        <w:pStyle w:val="ListBullet"/>
      </w:pPr>
      <w:r>
        <w:rPr>
          <w:b/>
        </w:rPr>
        <w:t>F5:</w:t>
      </w:r>
      <w:r>
        <w:t xml:space="preserve"> GbR-Vertrag Gründerkreis Phoenix GbR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