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Verteilungsszenario nach § 189 InsO – Abschlagsverteilung September 2026</w:t>
      </w:r>
    </w:p>
    <w:p>
      <w:pPr>
        <w:jc w:val="left"/>
      </w:pPr>
      <w:r>
        <w:rPr>
          <w:b/>
        </w:rPr>
        <w:t>Aktenzeichen:</w:t>
      </w:r>
      <w:r>
        <w:t xml:space="preserve"> 35 IN 417/26</w:t>
      </w:r>
    </w:p>
    <w:p>
      <w:pPr>
        <w:jc w:val="left"/>
      </w:pPr>
      <w:r>
        <w:rPr>
          <w:b/>
        </w:rPr>
        <w:t>Insolvenzverwalter:</w:t>
      </w:r>
      <w:r>
        <w:t xml:space="preserve"> RA Dr. Konrad Muster</w:t>
      </w:r>
    </w:p>
    <w:p>
      <w:pPr>
        <w:jc w:val="left"/>
      </w:pPr>
      <w:r>
        <w:rPr>
          <w:b/>
        </w:rPr>
        <w:t>Stand:</w:t>
      </w:r>
      <w:r>
        <w:t xml:space="preserve"> 15. August 2026</w:t>
      </w:r>
    </w:p>
    <w:p>
      <w:pPr>
        <w:jc w:val="left"/>
      </w:pPr>
      <w:r>
        <w:rPr>
          <w:b/>
        </w:rPr>
        <w:t>Bearbeiter:</w:t>
      </w:r>
      <w:r>
        <w:t xml:space="preserve"> Doris Felgner / Dr. Konrad Muster</w:t>
      </w:r>
    </w:p>
    <w:p/>
    <w:p>
      <w:pPr>
        <w:pStyle w:val="Heading2"/>
      </w:pPr>
      <w:r>
        <w:rPr>
          <w:rFonts w:ascii="Times New Roman" w:hAnsi="Times New Roman"/>
        </w:rPr>
        <w:t>1. Grundlagen und Verfahrensstand</w:t>
      </w:r>
    </w:p>
    <w:p>
      <w:pPr>
        <w:jc w:val="left"/>
      </w:pPr>
      <w:r>
        <w:t xml:space="preserve">Die Abschlagsverteilung ist für </w:t>
      </w:r>
      <w:r>
        <w:rPr>
          <w:b/>
        </w:rPr>
        <w:t>September 2026</w:t>
      </w:r>
      <w:r>
        <w:t xml:space="preserve"> geplant. Zum Zeitpunkt der Vorbereitung sind folgende Verfahrensstände zu berücksichtigen:</w:t>
      </w:r>
    </w:p>
    <w:p>
      <w:pPr>
        <w:pStyle w:val="ListBullet"/>
      </w:pPr>
      <w:r>
        <w:rPr>
          <w:b/>
        </w:rPr>
        <w:t>Betriebseinstellung:</w:t>
      </w:r>
      <w:r>
        <w:t xml:space="preserve"> 30. Mai 2026</w:t>
      </w:r>
    </w:p>
    <w:p>
      <w:pPr>
        <w:pStyle w:val="ListBullet"/>
      </w:pPr>
      <w:r>
        <w:rPr>
          <w:b/>
        </w:rPr>
        <w:t>Räumung Mietobjekt:</w:t>
      </w:r>
      <w:r>
        <w:t xml:space="preserve"> 1. Juli 2026</w:t>
      </w:r>
    </w:p>
    <w:p>
      <w:pPr>
        <w:pStyle w:val="ListBullet"/>
      </w:pPr>
      <w:r>
        <w:rPr>
          <w:b/>
        </w:rPr>
        <w:t>Fahrzeugverwertung:</w:t>
      </w:r>
      <w:r>
        <w:t xml:space="preserve"> abgeschlossen (Erlöse s.u.)</w:t>
      </w:r>
    </w:p>
    <w:p>
      <w:pPr>
        <w:pStyle w:val="ListBullet"/>
      </w:pPr>
      <w:r>
        <w:rPr>
          <w:b/>
        </w:rPr>
        <w:t>Lagerbestandsverwertung:</w:t>
      </w:r>
      <w:r>
        <w:t xml:space="preserve"> weitgehend abgeschlossen</w:t>
      </w:r>
    </w:p>
    <w:p>
      <w:pPr>
        <w:pStyle w:val="ListBullet"/>
      </w:pPr>
      <w:r>
        <w:rPr>
          <w:b/>
        </w:rPr>
        <w:t>Außenstandseinzug:</w:t>
      </w:r>
      <w:r>
        <w:t xml:space="preserve"> teilweise (lfd.)</w:t>
      </w:r>
    </w:p>
    <w:p>
      <w:pPr>
        <w:pStyle w:val="ListBullet"/>
      </w:pPr>
      <w:r>
        <w:rPr>
          <w:b/>
        </w:rPr>
        <w:t>Prüfungstermin:</w:t>
      </w:r>
      <w:r>
        <w:t xml:space="preserve"> 25. Juni 2026 (abgeschlossen)</w:t>
      </w:r>
    </w:p>
    <w:p>
      <w:pPr>
        <w:pStyle w:val="ListBullet"/>
      </w:pPr>
      <w:r>
        <w:rPr>
          <w:b/>
        </w:rPr>
        <w:t>Streitige Positionen:</w:t>
      </w:r>
      <w:r>
        <w:t xml:space="preserve"> mehrere (s. Dokument 17)</w:t>
      </w:r>
    </w:p>
    <w:p/>
    <w:p>
      <w:pPr>
        <w:pStyle w:val="Heading2"/>
      </w:pPr>
      <w:r>
        <w:rPr>
          <w:rFonts w:ascii="Times New Roman" w:hAnsi="Times New Roman"/>
        </w:rPr>
        <w:t>2. Insolvenzmasse (Aktiva)</w:t>
      </w:r>
    </w:p>
    <w:p>
      <w:pPr>
        <w:pStyle w:val="Heading3"/>
      </w:pPr>
      <w:r>
        <w:rPr>
          <w:rFonts w:ascii="Times New Roman" w:hAnsi="Times New Roman"/>
        </w:rPr>
        <w:t>2.1 Verwertungserlöse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Erlös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Montagefahrzeug 1 (VW Crafter)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18.500,00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Verkauf an KFZ-Händler, 22.06.2026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Montagefahrzeug 2 (Ford Transit)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13.200,00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Direktverkauf, 25.06.2026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Hubarbeitsbühne (Ruthmann T 210)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Bieterverfahren, 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Lagerbestand (Restmaterial)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8.340,00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Auktion, 10.07.2026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Büroausstattung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Direktverkauf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Werkzeuge, Spezialwerkzeug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2.900,00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Bieterverfahren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Kundenforderungen eingezogen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34.600,00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 offenen Aufträgen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 bei Eröffnung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3.240,00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Vorläufige Masse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102.980,00</w:t>
            </w:r>
          </w:p>
        </w:tc>
        <w:tc>
          <w:tcPr>
            <w:tcW w:type="dxa" w:w="3024"/>
          </w:tcPr>
          <w:p/>
        </w:tc>
      </w:tr>
    </w:tbl>
    <w:p>
      <w:pPr>
        <w:pStyle w:val="Heading3"/>
      </w:pPr>
      <w:r>
        <w:rPr>
          <w:rFonts w:ascii="Times New Roman" w:hAnsi="Times New Roman"/>
        </w:rPr>
        <w:t>2.2 Absonderungsrechte – Havelbank AG</w:t>
      </w:r>
    </w:p>
    <w:p>
      <w:pPr>
        <w:jc w:val="left"/>
      </w:pPr>
      <w:r>
        <w:t>Die Sicherungsgüter (Fahrzeuge, Hubarbeitsbühne, Lager) unterlagen der Sicherungsübereignung zugunsten der Havelbank AG. Der Verwertungserlös aus diesen Gegenständen (52.700,00 EUR) fließt zunächst an die Havelbank AG. Der Insolvenzverwalter hat gemäß § 170 InsO einen Kostenbeitrag von 9 % (Feststellungskosten) und 3 % (Verwertungskosten) einbehalten: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Erlös Sicherungsgüter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52.700,00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Kostenbeitrag § 170 InsO (9 % + 3 % = 12 %)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6.324,00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 Havelbank AG ausgekehrt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46.376,00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Ausfall Havelbank AG (150.000,00 – 46.376,00)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103.624,00 EUR</w:t>
            </w:r>
          </w:p>
        </w:tc>
      </w:tr>
    </w:tbl>
    <w:p>
      <w:pPr>
        <w:jc w:val="left"/>
      </w:pPr>
      <w:r>
        <w:t xml:space="preserve">Der Ausfall der Havelbank AG beträgt damit </w:t>
      </w:r>
      <w:r>
        <w:rPr>
          <w:b/>
        </w:rPr>
        <w:t>103.624,00 EUR</w:t>
      </w:r>
      <w:r>
        <w:t xml:space="preserve"> und wird als einfache Insolvenzforderung in der Tabelle festgestellt (Nachtragseintrag, IFAP-002 nach Bewertung).</w:t>
      </w:r>
    </w:p>
    <w:p/>
    <w:p>
      <w:pPr>
        <w:pStyle w:val="Heading2"/>
      </w:pPr>
      <w:r>
        <w:rPr>
          <w:rFonts w:ascii="Times New Roman" w:hAnsi="Times New Roman"/>
        </w:rPr>
        <w:t>3. Masseverbindlichkeiten und 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Insolvenzverwaltergebühr (InsVV, vorläufig)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18.500,00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Auslagen Insolvenzverwalter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 (Vorschuss + Verfahren)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3.800,00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Masselöhne (Mai 2026: Lena Vogt, Hans Köhler etc.)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9.800,00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Masseverbindlichkeiten Miete Mai/Juni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9.600,00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SV-Beiträge Masseanteil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2.300,00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 Sachverständiger (Fahrzeuge, Lager)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 Auktion / Vermarktung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Masseverbindlichkeiten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50.500,00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Verfügbare Verteilungsmasse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Vorläufige Masse (Bruttoerlöse)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102.980,00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 an Havelbank AG (Sicherungserlöse, 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46.376,00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Freie Masse nach Absonderung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56.604,00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Masseverbindlichkeiten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50.500,00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Netto-Verteilungsmasse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6.104,00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Festgestellte Insolvenzforderungen (§ 38 InsO)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IFAP-Nr.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Festgestellter 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Solarteile Nord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24.292,20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 (bestritten Schuldner)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Havelbank AG (Ausfall)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103.624,00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 nach 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Potsdam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38.400,00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 ohne besonderen Rechtsgrund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BKK Handwerk Mitte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21.862,35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Lena Vogt (Lohn März)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festgestellt, unstreitig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Lena Vogt (Lohn April)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 (bestritten Schuldner)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Lena Vogt (Schmerzensgeld)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bestritten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Gewerbepark Babelsberg (Miete April)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4.640,00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Gewerbepark Babelsberg (Schaden)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5.400,00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bestritten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Elektro Schaffner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8.340,00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Zollingerwerke GmbH &amp; Co.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14.900,00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Transporte Haase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3.290,00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Hans Köhler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2.800,00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Carmen Dietrich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Klaus-Peter Müller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4.600,00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Alexandra Wolff (Lohn)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Alexandra Wolff (Überstunden)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2.700,00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bestritten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Dachdecker Meier &amp; Söhne GbR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6.800,00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GreenTech Leasing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18.500,00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 (gekürzt)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Stadtwerke Potsdam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2.140,00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Reinigungsservice Quick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890,00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Techniker Krankenkasse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8.120,00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Druckerei Licht &amp; Wort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1.460,00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Immobilien Bau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bestritten (Rechtsnatur offen)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Photovoltaik-Technik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12.600,00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Werkzeugbau Kern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4.700,00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festgestellt (unstreitig)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353.958,55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bestritten (Rückbehalt)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60.500,00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gesamt § 38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414.458,55</w:t>
            </w:r>
          </w:p>
        </w:tc>
        <w:tc>
          <w:tcPr>
            <w:tcW w:type="dxa" w:w="2268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6. Rückbehalt für bestrittene Forderungen (§ 189 InsO)</w:t>
      </w:r>
    </w:p>
    <w:p>
      <w:pPr>
        <w:jc w:val="left"/>
      </w:pPr>
      <w:r>
        <w:t xml:space="preserve">Gemäß § 189 InsO hat der Insolvenzverwalter vor jeder Verteilung für noch nicht festgestellte oder bestrittene Forderungen einen </w:t>
      </w:r>
      <w:r>
        <w:rPr>
          <w:b/>
        </w:rPr>
        <w:t>Rückbehalt</w:t>
      </w:r>
      <w:r>
        <w:t xml:space="preserve"> zu bilden. Dieser entspricht dem Anteil, der auf die bestrittene Forderung entfallen würde, wenn sie festgestellt wäre.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Bestrittene 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Quote-anteiliger Rückbehalt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Solarteile Nord GmbH (IV-Widerspruch SN-016)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4.200,00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61,88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Solarteile Nord GmbH (Schuldnerwiderspruch)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24.250,20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357,14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Lena Vogt (Schmerzensgeld)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3.000,00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44,19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Lena Vogt (April-Lohn Schuldner)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45,66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Alexandra Wolff (Überstunden)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2.700,00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39,78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Gewerbepark Babelsberg (Schaden)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5.400,00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79,54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Immobilien Bau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45.000,00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662,73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Gesamtrückbehalt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87.650,20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1.290,92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Abschlagsverteilung – Berechnung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Netto-Verteilungsmasse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6.104,00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abzgl. Rückbehalt bestrittene 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1.290,92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Ausschüttbare 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4.813,08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Gesamtbetrag unstreitig festgestellter § 38-Forderungen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353.958,55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Abschlagsquote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1,36 %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Ausschüttungsbeispiele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Festgestellt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Ausschüttung 1,36 %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Havelbank AG (Ausfall)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103.624,00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1.409,29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Finanzamt Potsdam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38.400,00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522,24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BKK Handwerk Mitte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21.862,35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297,33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Solarteile Nord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24.292,20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330,37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Zollingerwerke GmbH &amp; Co.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14.900,00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202,64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... (weitere anteilig)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8. Nachrangforderungen (§ 39 InsO)</w:t>
      </w:r>
    </w:p>
    <w:p>
      <w:pPr>
        <w:jc w:val="left"/>
      </w:pPr>
      <w:r>
        <w:t xml:space="preserve">Die Forderung der Gründerkreis Phoenix GbR (94.796,23 EUR, § 39 Abs. 1 Nr. 5 InsO) wird bei der Abschlagsverteilung </w:t>
      </w:r>
      <w:r>
        <w:rPr>
          <w:b/>
        </w:rPr>
        <w:t>nicht</w:t>
      </w:r>
      <w:r>
        <w:t xml:space="preserve"> berücksichtigt. Nachrangforderungen erhalten nur dann eine Quote, wenn alle einfachen Insolvenzforderungen vollständig befriedigt wurden. Angesichts der voraussichtlichen Abschlagsquote von ca. 1,36 % ist davon nicht auszugehen.</w:t>
      </w:r>
    </w:p>
    <w:p/>
    <w:p>
      <w:pPr>
        <w:pStyle w:val="Heading2"/>
      </w:pPr>
      <w:r>
        <w:rPr>
          <w:rFonts w:ascii="Times New Roman" w:hAnsi="Times New Roman"/>
        </w:rPr>
        <w:t>9. Weiterer Fahrplan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Vorbereitung Abschlagsverteilung, Antrag beim Insolvenzgericht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Gerichtliche Genehmigung erwartet (§ 187 Abs. 3 InsO)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Ausschüttung an alle festgestellten § 38-Gläubiger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Ablauf Klagefrist für bestrittene Gläubiger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Okt./Nov.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Stand Klageverfahren; Rückbehalt ggf. freigeben oder endgültig behalten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Angestrebter Abschluss Außenstandseinzug und Schlussverteilung</w:t>
            </w:r>
          </w:p>
        </w:tc>
      </w:tr>
    </w:tbl>
    <w:p/>
    <w:p>
      <w:pPr>
        <w:jc w:val="left"/>
      </w:pPr>
      <w:r>
        <w:rPr>
          <w:i/>
        </w:rPr>
        <w:t>Erstellt: Dr. Konrad Muster, Insolvenzverwalter, Potsdam, 15. August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