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Darstellender Teil – Rohnotizen und Entwurfsgrundlagen</w:t>
      </w:r>
    </w:p>
    <w:p>
      <w:pPr>
        <w:jc w:val="left"/>
      </w:pPr>
      <w:r>
        <w:rPr>
          <w:b/>
        </w:rPr>
        <w:t>Aktenzeichen:</w:t>
      </w:r>
      <w:r>
        <w:t xml:space="preserve"> MH-2026-001</w:t>
      </w:r>
    </w:p>
    <w:p>
      <w:pPr>
        <w:jc w:val="left"/>
      </w:pPr>
      <w:r>
        <w:rPr>
          <w:b/>
        </w:rPr>
        <w:t>Stand:</w:t>
      </w:r>
      <w:r>
        <w:t xml:space="preserve"> 5. Juni 2026 (Rohfassung für interne Abstimmung)</w:t>
      </w:r>
    </w:p>
    <w:p>
      <w:pPr>
        <w:jc w:val="left"/>
      </w:pPr>
      <w:r>
        <w:rPr>
          <w:b/>
        </w:rPr>
        <w:t>Verfasser:</w:t>
      </w:r>
      <w:r>
        <w:t xml:space="preserve"> RA Dr. Karolin Westphal, StB Axel Dresen</w:t>
      </w:r>
    </w:p>
    <w:p>
      <w:pPr>
        <w:jc w:val="left"/>
      </w:pPr>
      <w:r>
        <w:rPr>
          <w:b/>
        </w:rPr>
        <w:t>Rechtsgrundlage:</w:t>
      </w:r>
      <w:r>
        <w:t xml:space="preserve"> § 220 InsO, § 6 StaRUG</w:t>
      </w:r>
    </w:p>
    <w:p/>
    <w:p>
      <w:pPr>
        <w:pStyle w:val="Heading2"/>
      </w:pPr>
      <w:r>
        <w:rPr>
          <w:rFonts w:ascii="Times New Roman" w:hAnsi="Times New Roman"/>
        </w:rPr>
        <w:t>Vorbemerkung</w:t>
      </w:r>
    </w:p>
    <w:p>
      <w:pPr>
        <w:jc w:val="left"/>
      </w:pPr>
      <w:r>
        <w:t>Der darstellende Teil beschreibt nach § 220 InsO, welche Maßnahmen nach dem Plan vorgesehen sind und warum diese Maßnahmen zweckmäßig sind. Er soll dem Insolvenzgericht, dem Sachwalter (bei Eigenverwaltung), dem Gläubigerausschuss und jedem abstimmenden Gläubiger eine vollständige Tatsachengrundlage liefern, auf der die Abstimmungsentscheidung basieren kann. Das Gericht prüft den darstellenden Teil inhaltlich nicht auf Richtigkeit, wohl aber auf Vollständigkeit und innere Widerspruchsfreiheit.</w:t>
      </w:r>
    </w:p>
    <w:p>
      <w:pPr>
        <w:jc w:val="left"/>
      </w:pPr>
      <w:r>
        <w:t xml:space="preserve">Diese Rohnotizen bilden die Grundlage für die vollständige Ausformulierung (Zieldokument: </w:t>
      </w:r>
      <w:r>
        <w:t>darstellender_teil_insolvenzplan.docx</w:t>
      </w:r>
      <w:r>
        <w:t>). Sie enthalten strukturierte Stichpunkte, zu ergänzende Abschnitte und offene Fragen.</w:t>
      </w:r>
    </w:p>
    <w:p/>
    <w:p>
      <w:pPr>
        <w:pStyle w:val="Heading2"/>
      </w:pPr>
      <w:r>
        <w:rPr>
          <w:rFonts w:ascii="Times New Roman" w:hAnsi="Times New Roman"/>
        </w:rPr>
        <w:t>A. Abschnitt 1: Schuldnerin und Geschäftsbetrieb</w:t>
      </w:r>
    </w:p>
    <w:p>
      <w:pPr>
        <w:pStyle w:val="Heading3"/>
      </w:pPr>
      <w:r>
        <w:rPr>
          <w:rFonts w:ascii="Times New Roman" w:hAnsi="Times New Roman"/>
        </w:rPr>
        <w:t>1.1 Gesellschaftsrechtliche Grundlagen</w:t>
      </w:r>
    </w:p>
    <w:p>
      <w:pPr>
        <w:pStyle w:val="ListBullet"/>
      </w:pPr>
      <w:r>
        <w:rPr>
          <w:b/>
        </w:rPr>
        <w:t>Firma, Sitz, Registereinträge:</w:t>
      </w:r>
      <w:r>
        <w:t xml:space="preserve"> Metallbau Hansa GmbH, Billbrookdeich 127, 22113 Hamburg, HRB 142 387 AG Hamburg.</w:t>
      </w:r>
    </w:p>
    <w:p>
      <w:pPr>
        <w:pStyle w:val="ListBullet"/>
      </w:pPr>
      <w:r>
        <w:rPr>
          <w:b/>
        </w:rPr>
        <w:t>Gesellschafter und Beteiligungsverhältnisse:</w:t>
      </w:r>
      <w:r>
        <w:t xml:space="preserve"> Alleingesellschafterin Hansa Beteiligungs UG (haftungsbeschränkt), Hamburg, HRB 189 044. Gesellschafterin der UG: Maria Rönsberg (100 %). Keine weiteren Beteiligungen der Schuldnerin an Dritten.</w:t>
      </w:r>
    </w:p>
    <w:p>
      <w:pPr>
        <w:pStyle w:val="ListBullet"/>
      </w:pPr>
      <w:r>
        <w:rPr>
          <w:b/>
        </w:rPr>
        <w:t>Geschäftsführung:</w:t>
      </w:r>
      <w:r>
        <w:t xml:space="preserve"> Anna Reimers (Einzelvertretungsbefugnis, befreit von § 181 BGB), Lukas Petersen (Gesamtvertretung mit Reimers). CFO Björn Hollender als Prokurist.</w:t>
      </w:r>
    </w:p>
    <w:p>
      <w:pPr>
        <w:pStyle w:val="ListBullet"/>
      </w:pPr>
      <w:r>
        <w:rPr>
          <w:b/>
        </w:rPr>
        <w:t>Zertifizierungen:</w:t>
      </w:r>
      <w:r>
        <w:t xml:space="preserve"> DIN EN 1090-2 Ausführungsklasse EXC 3 (für Bahninfrastruktur zwingend erforderlich), ISO 3834-2 (Schweißqualität). Zertifikat läuft bis 30. September 2026; Verlängerungsaudit ist geplant.</w:t>
      </w:r>
    </w:p>
    <w:p>
      <w:pPr>
        <w:pStyle w:val="Heading3"/>
      </w:pPr>
      <w:r>
        <w:rPr>
          <w:rFonts w:ascii="Times New Roman" w:hAnsi="Times New Roman"/>
        </w:rPr>
        <w:t>1.2 Geschäftsbetrieb und Leistungsportfolio</w:t>
      </w:r>
    </w:p>
    <w:p>
      <w:pPr>
        <w:pStyle w:val="ListBullet"/>
      </w:pPr>
      <w:r>
        <w:t>Drei Hauptsegmente: Kommunale Infrastruktur (42 %), Bahninfrastruktur (28 %), Industrieller Anlagenbau (30 %).</w:t>
      </w:r>
    </w:p>
    <w:p>
      <w:pPr>
        <w:pStyle w:val="ListBullet"/>
      </w:pPr>
      <w:r>
        <w:t>Standort: Hamburg-Billbrook, Produktionshalle 6.800 m², Erbbaurecht der Stadt Hamburg bis 2051.</w:t>
      </w:r>
    </w:p>
    <w:p>
      <w:pPr>
        <w:pStyle w:val="ListBullet"/>
      </w:pPr>
      <w:r>
        <w:t>Maschinenpark: Zwei CNC-Bearbeitungszentren (Okuma MA-8000H, Baujahr 2019; Heidenhain iTNC, Baujahr 2017), Brückenkran 15 t, diverse Schweißanlagen (Fronius TransPuls Synergic), Säge- und Biegemaschinen.</w:t>
      </w:r>
    </w:p>
    <w:p>
      <w:pPr>
        <w:pStyle w:val="ListBullet"/>
      </w:pPr>
      <w:r>
        <w:rPr>
          <w:b/>
        </w:rPr>
        <w:t>Zu ergänzen:</w:t>
      </w:r>
      <w:r>
        <w:t xml:space="preserve"> Vollständige Maschinenliste mit Buchwerten und Schätzwerten (Anlage 3 zum Plan).</w:t>
      </w:r>
    </w:p>
    <w:p>
      <w:pPr>
        <w:pStyle w:val="Heading3"/>
      </w:pPr>
      <w:r>
        <w:rPr>
          <w:rFonts w:ascii="Times New Roman" w:hAnsi="Times New Roman"/>
        </w:rPr>
        <w:t>1.3 Mitarbeiter</w:t>
      </w:r>
    </w:p>
    <w:p>
      <w:pPr>
        <w:pStyle w:val="ListBullet"/>
      </w:pPr>
      <w:r>
        <w:t>86 sozialversicherungspflichtige Beschäftigte (inkl. 4 Auszubildende), 2 Geschäftsführer.</w:t>
      </w:r>
    </w:p>
    <w:p>
      <w:pPr>
        <w:pStyle w:val="ListBullet"/>
      </w:pPr>
      <w:r>
        <w:t>Betriebsrat (5 Mitglieder).</w:t>
      </w:r>
    </w:p>
    <w:p>
      <w:pPr>
        <w:pStyle w:val="ListBullet"/>
      </w:pPr>
      <w:r>
        <w:t>Monatliche Bruttogehaltskosten: 420.000 Euro (Arbeitnehmer) + 28.000 Euro (GF-Bezüge).</w:t>
      </w:r>
    </w:p>
    <w:p>
      <w:pPr>
        <w:pStyle w:val="ListBullet"/>
      </w:pPr>
      <w:r>
        <w:t>Durchschnittliche Betriebszugehörigkeit: 8,3 Jahre; Fluktuationsquote 2025: 6,5 % (2 Abgänge auf eigenen Wunsch).</w:t>
      </w:r>
    </w:p>
    <w:p>
      <w:pPr>
        <w:pStyle w:val="ListBullet"/>
      </w:pPr>
      <w:r>
        <w:t>Schlüsselperson Rainer Buchholz: DIN EN 1090-2-Zertifizierung hängt am Schweißfachingenieur. Sicherung durch Retention-Bonus geplant.</w:t>
      </w:r>
    </w:p>
    <w:p/>
    <w:p>
      <w:pPr>
        <w:pStyle w:val="Heading2"/>
      </w:pPr>
      <w:r>
        <w:rPr>
          <w:rFonts w:ascii="Times New Roman" w:hAnsi="Times New Roman"/>
        </w:rPr>
        <w:t>B. Abschnitt 2: Ursachen der Krise</w:t>
      </w:r>
    </w:p>
    <w:p>
      <w:pPr>
        <w:jc w:val="left"/>
      </w:pPr>
      <w:r>
        <w:rPr>
          <w:i/>
        </w:rPr>
        <w:t>(Kurzfassung; ausführlich in Datei `06_krisenursachen_workshop.md`)</w:t>
      </w:r>
    </w:p>
    <w:p>
      <w:pPr>
        <w:jc w:val="left"/>
      </w:pPr>
      <w:r>
        <w:t>Die Krise hat ihre unmittelbare Ursache in zwei Festpreisaufträgen (Bahnstation Altona-Süd, Wärmeprojekt Stellingen) ohne Materialgleitklausel, die durch den Stahlpreisanstieg 2022/2023 zu Deckungsbeitragsverlusten von zusammen ca. 870.000 Euro führten. Mittelbare Ursachen sind fehlendes Projektcontrolling (keine monatliche Nachkalkulation) und eine zu dünne Eigenkapitaldecke. Das Gesellschafterdarlehen von 950.000 Euro wurde zwar gewährt, aber ohne schriftlichen Rangrücktritt.</w:t>
      </w:r>
    </w:p>
    <w:p>
      <w:pPr>
        <w:jc w:val="left"/>
      </w:pPr>
      <w:r>
        <w:rPr>
          <w:b/>
        </w:rPr>
        <w:t>Nicht ursächlich:</w:t>
      </w:r>
      <w:r>
        <w:t xml:space="preserve"> Eine strukturelle Überschuldung des Geschäftsmodells liegt nicht vor. Auftragsbestand, Kundenbindung und Marktposition sind intakt. Die Verluste sind auf zwei abgeschlossene Projekte beschränkt; die Neuverträge enthalten Preisgleitklauseln.</w:t>
      </w:r>
    </w:p>
    <w:p/>
    <w:p>
      <w:pPr>
        <w:pStyle w:val="Heading2"/>
      </w:pPr>
      <w:r>
        <w:rPr>
          <w:rFonts w:ascii="Times New Roman" w:hAnsi="Times New Roman"/>
        </w:rPr>
        <w:t>C. Abschnitt 3: Vermögenslage und Überschuldungsstatus</w:t>
      </w:r>
    </w:p>
    <w:p>
      <w:pPr>
        <w:pStyle w:val="Heading3"/>
      </w:pPr>
      <w:r>
        <w:rPr>
          <w:rFonts w:ascii="Times New Roman" w:hAnsi="Times New Roman"/>
        </w:rPr>
        <w:t>3.1 Überschuldungsstatus per 30. April 2026</w:t>
      </w:r>
    </w:p>
    <w:p>
      <w:pPr>
        <w:jc w:val="left"/>
      </w:pPr>
      <w:r>
        <w:rPr>
          <w:i/>
        </w:rPr>
        <w:t>(wird von StB Dresen erstellt; Rohwerte bereits übermittelt)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Fortführungswert</w:t>
            </w:r>
          </w:p>
        </w:tc>
        <w:tc>
          <w:tcPr>
            <w:tcW w:type="dxa" w:w="3024"/>
          </w:tcPr>
          <w:p>
            <w:r>
              <w:rPr>
                <w:rFonts w:ascii="Times New Roman" w:hAnsi="Times New Roman"/>
                <w:b/>
                <w:sz w:val="20"/>
              </w:rPr>
              <w:t>Liquidationswert</w:t>
            </w:r>
          </w:p>
        </w:tc>
      </w:tr>
      <w:tr>
        <w:tc>
          <w:tcPr>
            <w:tcW w:type="dxa" w:w="3024"/>
          </w:tcPr>
          <w:p>
            <w:r>
              <w:rPr>
                <w:rFonts w:ascii="Times New Roman" w:hAnsi="Times New Roman"/>
                <w:b/>
                <w:sz w:val="20"/>
              </w:rPr>
              <w:t>Aktiva</w:t>
            </w:r>
          </w:p>
        </w:tc>
        <w:tc>
          <w:tcPr>
            <w:tcW w:type="dxa" w:w="3024"/>
          </w:tcPr>
          <w:p/>
        </w:tc>
        <w:tc>
          <w:tcPr>
            <w:tcW w:type="dxa" w:w="3024"/>
          </w:tcPr>
          <w:p/>
        </w:tc>
      </w:tr>
      <w:tr>
        <w:tc>
          <w:tcPr>
            <w:tcW w:type="dxa" w:w="3024"/>
          </w:tcPr>
          <w:p>
            <w:r>
              <w:rPr>
                <w:rFonts w:ascii="Times New Roman" w:hAnsi="Times New Roman"/>
                <w:sz w:val="20"/>
              </w:rPr>
              <w:t>Maschinenpark</w:t>
            </w:r>
          </w:p>
        </w:tc>
        <w:tc>
          <w:tcPr>
            <w:tcW w:type="dxa" w:w="3024"/>
          </w:tcPr>
          <w:p>
            <w:r>
              <w:rPr>
                <w:rFonts w:ascii="Times New Roman" w:hAnsi="Times New Roman"/>
                <w:sz w:val="20"/>
              </w:rPr>
              <w:t>1.250.000 €</w:t>
            </w:r>
          </w:p>
        </w:tc>
        <w:tc>
          <w:tcPr>
            <w:tcW w:type="dxa" w:w="3024"/>
          </w:tcPr>
          <w:p>
            <w:r>
              <w:rPr>
                <w:rFonts w:ascii="Times New Roman" w:hAnsi="Times New Roman"/>
                <w:sz w:val="20"/>
              </w:rPr>
              <w:t>610.000 €</w:t>
            </w:r>
          </w:p>
        </w:tc>
      </w:tr>
      <w:tr>
        <w:tc>
          <w:tcPr>
            <w:tcW w:type="dxa" w:w="3024"/>
          </w:tcPr>
          <w:p>
            <w:r>
              <w:rPr>
                <w:rFonts w:ascii="Times New Roman" w:hAnsi="Times New Roman"/>
                <w:sz w:val="20"/>
              </w:rPr>
              <w:t>Fuhrpark</w:t>
            </w:r>
          </w:p>
        </w:tc>
        <w:tc>
          <w:tcPr>
            <w:tcW w:type="dxa" w:w="3024"/>
          </w:tcPr>
          <w:p>
            <w:r>
              <w:rPr>
                <w:rFonts w:ascii="Times New Roman" w:hAnsi="Times New Roman"/>
                <w:sz w:val="20"/>
              </w:rPr>
              <w:t>200.000 €</w:t>
            </w:r>
          </w:p>
        </w:tc>
        <w:tc>
          <w:tcPr>
            <w:tcW w:type="dxa" w:w="3024"/>
          </w:tcPr>
          <w:p>
            <w:r>
              <w:rPr>
                <w:rFonts w:ascii="Times New Roman" w:hAnsi="Times New Roman"/>
                <w:sz w:val="20"/>
              </w:rPr>
              <w:t>140.000 €</w:t>
            </w:r>
          </w:p>
        </w:tc>
      </w:tr>
      <w:tr>
        <w:tc>
          <w:tcPr>
            <w:tcW w:type="dxa" w:w="3024"/>
          </w:tcPr>
          <w:p>
            <w:r>
              <w:rPr>
                <w:rFonts w:ascii="Times New Roman" w:hAnsi="Times New Roman"/>
                <w:sz w:val="20"/>
              </w:rPr>
              <w:t>Büro/EDV</w:t>
            </w:r>
          </w:p>
        </w:tc>
        <w:tc>
          <w:tcPr>
            <w:tcW w:type="dxa" w:w="3024"/>
          </w:tcPr>
          <w:p>
            <w:r>
              <w:rPr>
                <w:rFonts w:ascii="Times New Roman" w:hAnsi="Times New Roman"/>
                <w:sz w:val="20"/>
              </w:rPr>
              <w:t>50.000 €</w:t>
            </w:r>
          </w:p>
        </w:tc>
        <w:tc>
          <w:tcPr>
            <w:tcW w:type="dxa" w:w="3024"/>
          </w:tcPr>
          <w:p>
            <w:r>
              <w:rPr>
                <w:rFonts w:ascii="Times New Roman" w:hAnsi="Times New Roman"/>
                <w:sz w:val="20"/>
              </w:rPr>
              <w:t>20.000 €</w:t>
            </w:r>
          </w:p>
        </w:tc>
      </w:tr>
      <w:tr>
        <w:tc>
          <w:tcPr>
            <w:tcW w:type="dxa" w:w="3024"/>
          </w:tcPr>
          <w:p>
            <w:r>
              <w:rPr>
                <w:rFonts w:ascii="Times New Roman" w:hAnsi="Times New Roman"/>
                <w:sz w:val="20"/>
              </w:rPr>
              <w:t>Erbbaurechts-Ausbau</w:t>
            </w:r>
          </w:p>
        </w:tc>
        <w:tc>
          <w:tcPr>
            <w:tcW w:type="dxa" w:w="3024"/>
          </w:tcPr>
          <w:p>
            <w:r>
              <w:rPr>
                <w:rFonts w:ascii="Times New Roman" w:hAnsi="Times New Roman"/>
                <w:sz w:val="20"/>
              </w:rPr>
              <w:t>600.000 €</w:t>
            </w:r>
          </w:p>
        </w:tc>
        <w:tc>
          <w:tcPr>
            <w:tcW w:type="dxa" w:w="3024"/>
          </w:tcPr>
          <w:p>
            <w:r>
              <w:rPr>
                <w:rFonts w:ascii="Times New Roman" w:hAnsi="Times New Roman"/>
                <w:sz w:val="20"/>
              </w:rPr>
              <w:t>100.000 €</w:t>
            </w:r>
          </w:p>
        </w:tc>
      </w:tr>
      <w:tr>
        <w:tc>
          <w:tcPr>
            <w:tcW w:type="dxa" w:w="3024"/>
          </w:tcPr>
          <w:p>
            <w:r>
              <w:rPr>
                <w:rFonts w:ascii="Times New Roman" w:hAnsi="Times New Roman"/>
                <w:sz w:val="20"/>
              </w:rPr>
              <w:t>Vorräte (abzgl. EV-Risiken)</w:t>
            </w:r>
          </w:p>
        </w:tc>
        <w:tc>
          <w:tcPr>
            <w:tcW w:type="dxa" w:w="3024"/>
          </w:tcPr>
          <w:p>
            <w:r>
              <w:rPr>
                <w:rFonts w:ascii="Times New Roman" w:hAnsi="Times New Roman"/>
                <w:sz w:val="20"/>
              </w:rPr>
              <w:t>960.000 €</w:t>
            </w:r>
          </w:p>
        </w:tc>
        <w:tc>
          <w:tcPr>
            <w:tcW w:type="dxa" w:w="3024"/>
          </w:tcPr>
          <w:p>
            <w:r>
              <w:rPr>
                <w:rFonts w:ascii="Times New Roman" w:hAnsi="Times New Roman"/>
                <w:sz w:val="20"/>
              </w:rPr>
              <w:t>480.000 €</w:t>
            </w:r>
          </w:p>
        </w:tc>
      </w:tr>
      <w:tr>
        <w:tc>
          <w:tcPr>
            <w:tcW w:type="dxa" w:w="3024"/>
          </w:tcPr>
          <w:p>
            <w:r>
              <w:rPr>
                <w:rFonts w:ascii="Times New Roman" w:hAnsi="Times New Roman"/>
                <w:sz w:val="20"/>
              </w:rPr>
              <w:t>Forderungen L&amp;L (netto)</w:t>
            </w:r>
          </w:p>
        </w:tc>
        <w:tc>
          <w:tcPr>
            <w:tcW w:type="dxa" w:w="3024"/>
          </w:tcPr>
          <w:p>
            <w:r>
              <w:rPr>
                <w:rFonts w:ascii="Times New Roman" w:hAnsi="Times New Roman"/>
                <w:sz w:val="20"/>
              </w:rPr>
              <w:t>2.820.000 €</w:t>
            </w:r>
          </w:p>
        </w:tc>
        <w:tc>
          <w:tcPr>
            <w:tcW w:type="dxa" w:w="3024"/>
          </w:tcPr>
          <w:p>
            <w:r>
              <w:rPr>
                <w:rFonts w:ascii="Times New Roman" w:hAnsi="Times New Roman"/>
                <w:sz w:val="20"/>
              </w:rPr>
              <w:t>1.950.000 €</w:t>
            </w:r>
          </w:p>
        </w:tc>
      </w:tr>
      <w:tr>
        <w:tc>
          <w:tcPr>
            <w:tcW w:type="dxa" w:w="3024"/>
          </w:tcPr>
          <w:p>
            <w:r>
              <w:rPr>
                <w:rFonts w:ascii="Times New Roman" w:hAnsi="Times New Roman"/>
                <w:sz w:val="20"/>
              </w:rPr>
              <w:t>Sonstige Forderungen</w:t>
            </w:r>
          </w:p>
        </w:tc>
        <w:tc>
          <w:tcPr>
            <w:tcW w:type="dxa" w:w="3024"/>
          </w:tcPr>
          <w:p>
            <w:r>
              <w:rPr>
                <w:rFonts w:ascii="Times New Roman" w:hAnsi="Times New Roman"/>
                <w:sz w:val="20"/>
              </w:rPr>
              <w:t>180.000 €</w:t>
            </w:r>
          </w:p>
        </w:tc>
        <w:tc>
          <w:tcPr>
            <w:tcW w:type="dxa" w:w="3024"/>
          </w:tcPr>
          <w:p>
            <w:r>
              <w:rPr>
                <w:rFonts w:ascii="Times New Roman" w:hAnsi="Times New Roman"/>
                <w:sz w:val="20"/>
              </w:rPr>
              <w:t>90.000 €</w:t>
            </w:r>
          </w:p>
        </w:tc>
      </w:tr>
      <w:tr>
        <w:tc>
          <w:tcPr>
            <w:tcW w:type="dxa" w:w="3024"/>
          </w:tcPr>
          <w:p>
            <w:r>
              <w:rPr>
                <w:rFonts w:ascii="Times New Roman" w:hAnsi="Times New Roman"/>
                <w:sz w:val="20"/>
              </w:rPr>
              <w:t>Kassenbestand</w:t>
            </w:r>
          </w:p>
        </w:tc>
        <w:tc>
          <w:tcPr>
            <w:tcW w:type="dxa" w:w="3024"/>
          </w:tcPr>
          <w:p>
            <w:r>
              <w:rPr>
                <w:rFonts w:ascii="Times New Roman" w:hAnsi="Times New Roman"/>
                <w:sz w:val="20"/>
              </w:rPr>
              <w:t>193.000 €</w:t>
            </w:r>
          </w:p>
        </w:tc>
        <w:tc>
          <w:tcPr>
            <w:tcW w:type="dxa" w:w="3024"/>
          </w:tcPr>
          <w:p>
            <w:r>
              <w:rPr>
                <w:rFonts w:ascii="Times New Roman" w:hAnsi="Times New Roman"/>
                <w:sz w:val="20"/>
              </w:rPr>
              <w:t>193.000 €</w:t>
            </w:r>
          </w:p>
        </w:tc>
      </w:tr>
      <w:tr>
        <w:tc>
          <w:tcPr>
            <w:tcW w:type="dxa" w:w="3024"/>
          </w:tcPr>
          <w:p>
            <w:r>
              <w:rPr>
                <w:rFonts w:ascii="Times New Roman" w:hAnsi="Times New Roman"/>
                <w:b/>
                <w:sz w:val="20"/>
              </w:rPr>
              <w:t>Summe Aktiva</w:t>
            </w:r>
          </w:p>
        </w:tc>
        <w:tc>
          <w:tcPr>
            <w:tcW w:type="dxa" w:w="3024"/>
          </w:tcPr>
          <w:p>
            <w:r>
              <w:rPr>
                <w:rFonts w:ascii="Times New Roman" w:hAnsi="Times New Roman"/>
                <w:b/>
                <w:sz w:val="20"/>
              </w:rPr>
              <w:t>6.253.000 €</w:t>
            </w:r>
          </w:p>
        </w:tc>
        <w:tc>
          <w:tcPr>
            <w:tcW w:type="dxa" w:w="3024"/>
          </w:tcPr>
          <w:p>
            <w:r>
              <w:rPr>
                <w:rFonts w:ascii="Times New Roman" w:hAnsi="Times New Roman"/>
                <w:b/>
                <w:sz w:val="20"/>
              </w:rPr>
              <w:t>3.583.000 €</w:t>
            </w:r>
          </w:p>
        </w:tc>
      </w:tr>
      <w:tr>
        <w:tc>
          <w:tcPr>
            <w:tcW w:type="dxa" w:w="3024"/>
          </w:tcPr>
          <w:p>
            <w:r>
              <w:rPr>
                <w:rFonts w:ascii="Times New Roman" w:hAnsi="Times New Roman"/>
                <w:b/>
                <w:sz w:val="20"/>
              </w:rPr>
              <w:t>Passiva (Verbindlichkeiten)</w:t>
            </w:r>
          </w:p>
        </w:tc>
        <w:tc>
          <w:tcPr>
            <w:tcW w:type="dxa" w:w="3024"/>
          </w:tcPr>
          <w:p/>
        </w:tc>
        <w:tc>
          <w:tcPr>
            <w:tcW w:type="dxa" w:w="3024"/>
          </w:tcPr>
          <w:p/>
        </w:tc>
      </w:tr>
      <w:tr>
        <w:tc>
          <w:tcPr>
            <w:tcW w:type="dxa" w:w="3024"/>
          </w:tcPr>
          <w:p>
            <w:r>
              <w:rPr>
                <w:rFonts w:ascii="Times New Roman" w:hAnsi="Times New Roman"/>
                <w:sz w:val="20"/>
              </w:rPr>
              <w:t>NordBank AG</w:t>
            </w:r>
          </w:p>
        </w:tc>
        <w:tc>
          <w:tcPr>
            <w:tcW w:type="dxa" w:w="3024"/>
          </w:tcPr>
          <w:p>
            <w:r>
              <w:rPr>
                <w:rFonts w:ascii="Times New Roman" w:hAnsi="Times New Roman"/>
                <w:sz w:val="20"/>
              </w:rPr>
              <w:t>4.200.000 €</w:t>
            </w:r>
          </w:p>
        </w:tc>
        <w:tc>
          <w:tcPr>
            <w:tcW w:type="dxa" w:w="3024"/>
          </w:tcPr>
          <w:p>
            <w:r>
              <w:rPr>
                <w:rFonts w:ascii="Times New Roman" w:hAnsi="Times New Roman"/>
                <w:sz w:val="20"/>
              </w:rPr>
              <w:t>4.200.000 €</w:t>
            </w:r>
          </w:p>
        </w:tc>
      </w:tr>
      <w:tr>
        <w:tc>
          <w:tcPr>
            <w:tcW w:type="dxa" w:w="3024"/>
          </w:tcPr>
          <w:p>
            <w:r>
              <w:rPr>
                <w:rFonts w:ascii="Times New Roman" w:hAnsi="Times New Roman"/>
                <w:sz w:val="20"/>
              </w:rPr>
              <w:t>LeasingWerk GmbH</w:t>
            </w:r>
          </w:p>
        </w:tc>
        <w:tc>
          <w:tcPr>
            <w:tcW w:type="dxa" w:w="3024"/>
          </w:tcPr>
          <w:p>
            <w:r>
              <w:rPr>
                <w:rFonts w:ascii="Times New Roman" w:hAnsi="Times New Roman"/>
                <w:sz w:val="20"/>
              </w:rPr>
              <w:t>740.000 €</w:t>
            </w:r>
          </w:p>
        </w:tc>
        <w:tc>
          <w:tcPr>
            <w:tcW w:type="dxa" w:w="3024"/>
          </w:tcPr>
          <w:p>
            <w:r>
              <w:rPr>
                <w:rFonts w:ascii="Times New Roman" w:hAnsi="Times New Roman"/>
                <w:sz w:val="20"/>
              </w:rPr>
              <w:t>740.000 €</w:t>
            </w:r>
          </w:p>
        </w:tc>
      </w:tr>
      <w:tr>
        <w:tc>
          <w:tcPr>
            <w:tcW w:type="dxa" w:w="3024"/>
          </w:tcPr>
          <w:p>
            <w:r>
              <w:rPr>
                <w:rFonts w:ascii="Times New Roman" w:hAnsi="Times New Roman"/>
                <w:sz w:val="20"/>
              </w:rPr>
              <w:t>Lieferantenverbindlichkeiten</w:t>
            </w:r>
          </w:p>
        </w:tc>
        <w:tc>
          <w:tcPr>
            <w:tcW w:type="dxa" w:w="3024"/>
          </w:tcPr>
          <w:p>
            <w:r>
              <w:rPr>
                <w:rFonts w:ascii="Times New Roman" w:hAnsi="Times New Roman"/>
                <w:sz w:val="20"/>
              </w:rPr>
              <w:t>1.403.000 €</w:t>
            </w:r>
          </w:p>
        </w:tc>
        <w:tc>
          <w:tcPr>
            <w:tcW w:type="dxa" w:w="3024"/>
          </w:tcPr>
          <w:p>
            <w:r>
              <w:rPr>
                <w:rFonts w:ascii="Times New Roman" w:hAnsi="Times New Roman"/>
                <w:sz w:val="20"/>
              </w:rPr>
              <w:t>1.403.000 €</w:t>
            </w:r>
          </w:p>
        </w:tc>
      </w:tr>
      <w:tr>
        <w:tc>
          <w:tcPr>
            <w:tcW w:type="dxa" w:w="3024"/>
          </w:tcPr>
          <w:p>
            <w:r>
              <w:rPr>
                <w:rFonts w:ascii="Times New Roman" w:hAnsi="Times New Roman"/>
                <w:sz w:val="20"/>
              </w:rPr>
              <w:t>Finanzamt / SV</w:t>
            </w:r>
          </w:p>
        </w:tc>
        <w:tc>
          <w:tcPr>
            <w:tcW w:type="dxa" w:w="3024"/>
          </w:tcPr>
          <w:p>
            <w:r>
              <w:rPr>
                <w:rFonts w:ascii="Times New Roman" w:hAnsi="Times New Roman"/>
                <w:sz w:val="20"/>
              </w:rPr>
              <w:t>550.000 €</w:t>
            </w:r>
          </w:p>
        </w:tc>
        <w:tc>
          <w:tcPr>
            <w:tcW w:type="dxa" w:w="3024"/>
          </w:tcPr>
          <w:p>
            <w:r>
              <w:rPr>
                <w:rFonts w:ascii="Times New Roman" w:hAnsi="Times New Roman"/>
                <w:sz w:val="20"/>
              </w:rPr>
              <w:t>550.000 €</w:t>
            </w:r>
          </w:p>
        </w:tc>
      </w:tr>
      <w:tr>
        <w:tc>
          <w:tcPr>
            <w:tcW w:type="dxa" w:w="3024"/>
          </w:tcPr>
          <w:p>
            <w:r>
              <w:rPr>
                <w:rFonts w:ascii="Times New Roman" w:hAnsi="Times New Roman"/>
                <w:sz w:val="20"/>
              </w:rPr>
              <w:t>Sonstige</w:t>
            </w:r>
          </w:p>
        </w:tc>
        <w:tc>
          <w:tcPr>
            <w:tcW w:type="dxa" w:w="3024"/>
          </w:tcPr>
          <w:p>
            <w:r>
              <w:rPr>
                <w:rFonts w:ascii="Times New Roman" w:hAnsi="Times New Roman"/>
                <w:sz w:val="20"/>
              </w:rPr>
              <w:t>590.000 €</w:t>
            </w:r>
          </w:p>
        </w:tc>
        <w:tc>
          <w:tcPr>
            <w:tcW w:type="dxa" w:w="3024"/>
          </w:tcPr>
          <w:p>
            <w:r>
              <w:rPr>
                <w:rFonts w:ascii="Times New Roman" w:hAnsi="Times New Roman"/>
                <w:sz w:val="20"/>
              </w:rPr>
              <w:t>590.000 €</w:t>
            </w:r>
          </w:p>
        </w:tc>
      </w:tr>
      <w:tr>
        <w:tc>
          <w:tcPr>
            <w:tcW w:type="dxa" w:w="3024"/>
          </w:tcPr>
          <w:p>
            <w:r>
              <w:rPr>
                <w:rFonts w:ascii="Times New Roman" w:hAnsi="Times New Roman"/>
                <w:sz w:val="20"/>
              </w:rPr>
              <w:t>Gesellschafterdarlehen (nachrangig)</w:t>
            </w:r>
          </w:p>
        </w:tc>
        <w:tc>
          <w:tcPr>
            <w:tcW w:type="dxa" w:w="3024"/>
          </w:tcPr>
          <w:p>
            <w:r>
              <w:rPr>
                <w:rFonts w:ascii="Times New Roman" w:hAnsi="Times New Roman"/>
                <w:sz w:val="20"/>
              </w:rPr>
              <w:t>950.000 €</w:t>
            </w:r>
          </w:p>
        </w:tc>
        <w:tc>
          <w:tcPr>
            <w:tcW w:type="dxa" w:w="3024"/>
          </w:tcPr>
          <w:p>
            <w:r>
              <w:rPr>
                <w:rFonts w:ascii="Times New Roman" w:hAnsi="Times New Roman"/>
                <w:sz w:val="20"/>
              </w:rPr>
              <w:t>950.000 €</w:t>
            </w:r>
          </w:p>
        </w:tc>
      </w:tr>
      <w:tr>
        <w:tc>
          <w:tcPr>
            <w:tcW w:type="dxa" w:w="3024"/>
          </w:tcPr>
          <w:p>
            <w:r>
              <w:rPr>
                <w:rFonts w:ascii="Times New Roman" w:hAnsi="Times New Roman"/>
                <w:b/>
                <w:sz w:val="20"/>
              </w:rPr>
              <w:t>Summe Passiva</w:t>
            </w:r>
          </w:p>
        </w:tc>
        <w:tc>
          <w:tcPr>
            <w:tcW w:type="dxa" w:w="3024"/>
          </w:tcPr>
          <w:p>
            <w:r>
              <w:rPr>
                <w:rFonts w:ascii="Times New Roman" w:hAnsi="Times New Roman"/>
                <w:b/>
                <w:sz w:val="20"/>
              </w:rPr>
              <w:t>8.433.000 €</w:t>
            </w:r>
          </w:p>
        </w:tc>
        <w:tc>
          <w:tcPr>
            <w:tcW w:type="dxa" w:w="3024"/>
          </w:tcPr>
          <w:p>
            <w:r>
              <w:rPr>
                <w:rFonts w:ascii="Times New Roman" w:hAnsi="Times New Roman"/>
                <w:b/>
                <w:sz w:val="20"/>
              </w:rPr>
              <w:t>8.433.000 €</w:t>
            </w:r>
          </w:p>
        </w:tc>
      </w:tr>
      <w:tr>
        <w:tc>
          <w:tcPr>
            <w:tcW w:type="dxa" w:w="3024"/>
          </w:tcPr>
          <w:p>
            <w:r>
              <w:rPr>
                <w:rFonts w:ascii="Times New Roman" w:hAnsi="Times New Roman"/>
                <w:b/>
                <w:sz w:val="20"/>
              </w:rPr>
              <w:t>Über-/Unterdeckung</w:t>
            </w:r>
          </w:p>
        </w:tc>
        <w:tc>
          <w:tcPr>
            <w:tcW w:type="dxa" w:w="3024"/>
          </w:tcPr>
          <w:p>
            <w:r>
              <w:rPr>
                <w:rFonts w:ascii="Times New Roman" w:hAnsi="Times New Roman"/>
                <w:b/>
                <w:sz w:val="20"/>
              </w:rPr>
              <w:t>–2.180.000 €</w:t>
            </w:r>
          </w:p>
        </w:tc>
        <w:tc>
          <w:tcPr>
            <w:tcW w:type="dxa" w:w="3024"/>
          </w:tcPr>
          <w:p>
            <w:r>
              <w:rPr>
                <w:rFonts w:ascii="Times New Roman" w:hAnsi="Times New Roman"/>
                <w:b/>
                <w:sz w:val="20"/>
              </w:rPr>
              <w:t>–4.850.000 €</w:t>
            </w:r>
          </w:p>
        </w:tc>
      </w:tr>
    </w:tbl>
    <w:p>
      <w:pPr>
        <w:jc w:val="left"/>
      </w:pPr>
      <w:r>
        <w:rPr>
          <w:b/>
        </w:rPr>
        <w:t>Ergebnis:</w:t>
      </w:r>
      <w:r>
        <w:t xml:space="preserve"> Die Gesellschaft ist bilanziell überschuldet (§ 19 InsO). Die Fortführungsprognose ist gleichwohl positiv, wenn der Plan angenommen und vollzogen wird. Bei positiver Fortführungsprognose besteht keine Insolvenzantragspflicht wegen Überschuldung.</w:t>
      </w:r>
    </w:p>
    <w:p>
      <w:pPr>
        <w:jc w:val="left"/>
      </w:pPr>
      <w:r>
        <w:rPr>
          <w:b/>
        </w:rPr>
        <w:t>Offene Fragen:</w:t>
      </w:r>
    </w:p>
    <w:p>
      <w:pPr>
        <w:pStyle w:val="ListBullet"/>
      </w:pPr>
      <w:r>
        <w:t>Wertansatz Vorräte: Eigentumsvorbehalte Stahlhandel Küste reduzieren den freien Zugriff auf ca. 640.000 Euro des Lagerbestands.</w:t>
      </w:r>
    </w:p>
    <w:p>
      <w:pPr>
        <w:pStyle w:val="ListBullet"/>
      </w:pPr>
      <w:r>
        <w:t>Forderungsausfallrisiken: drei Positionen aus Bahnstation-Projekten sind strittig (gesamt ca. 180.000 Euro).</w:t>
      </w:r>
    </w:p>
    <w:p>
      <w:pPr>
        <w:pStyle w:val="ListBullet"/>
      </w:pPr>
      <w:r>
        <w:t>Eventualverbindlichkeiten: Bürgschaften gegenüber InfraRail Service (480.000 Euro) nicht in Überschuldungsstatus enthalten; Inanspruchnahme unwahrscheinlich, aber möglich.</w:t>
      </w:r>
    </w:p>
    <w:p>
      <w:pPr>
        <w:pStyle w:val="Heading3"/>
      </w:pPr>
      <w:r>
        <w:rPr>
          <w:rFonts w:ascii="Times New Roman" w:hAnsi="Times New Roman"/>
        </w:rPr>
        <w:t>3.2 Zahlungsunfähigkeit per 12. Mai 2026</w:t>
      </w:r>
    </w:p>
    <w:p>
      <w:pPr>
        <w:jc w:val="left"/>
      </w:pPr>
      <w:r>
        <w:t xml:space="preserve">Zum Datum des Erstgesprächs war Zahlungsunfähigkeit nach § 17 InsO </w:t>
      </w:r>
      <w:r>
        <w:rPr>
          <w:b/>
        </w:rPr>
        <w:t>grenzwertig</w:t>
      </w:r>
      <w:r>
        <w:t>: Fällige Verbindlichkeiten ca. 890.000 Euro (inkl. NordBank-Kontokorrent, fällige USt/LSt, Lieferantenrückstände); liquide Mittel und kurzfristig realisierbare Einzahlungen ca. 820.000 Euro. Liquiditätslücke ca. 70.000 Euro. Die Mandantin hat bis zum 20. Mai 2026 eine Teilzahlung an das Finanzamt geleistet (47.000 Euro LSt), die die akute Lücke vorübergehend schließt. Ein Stundungsantrag beim Finanzamt ist gestellt.</w:t>
      </w:r>
    </w:p>
    <w:p>
      <w:pPr>
        <w:jc w:val="left"/>
      </w:pPr>
      <w:r>
        <w:rPr>
          <w:b/>
        </w:rPr>
        <w:t>Bewertung:</w:t>
      </w:r>
      <w:r>
        <w:t xml:space="preserve"> Zum jetzigen Stand (5. Juni 2026) besteht keine akute Zahlungsunfähigkeit, da die erwartete Projektzahlung der Elbe Anlagenbau GmbH (380.000 Euro) am 28. Mai 2026 eingegangen ist. Die Lage bleibt aber prekär; die 13-Wochen-Planung (Datei </w:t>
      </w:r>
      <w:r>
        <w:t>03_liquiditaetsstatus.csv</w:t>
      </w:r>
      <w:r>
        <w:t>) zeigt für KW 28–30 erneut negative Salden, wenn keine weiteren Maßnahmen ergriffen werden.</w:t>
      </w:r>
    </w:p>
    <w:p/>
    <w:p>
      <w:pPr>
        <w:pStyle w:val="Heading2"/>
      </w:pPr>
      <w:r>
        <w:rPr>
          <w:rFonts w:ascii="Times New Roman" w:hAnsi="Times New Roman"/>
        </w:rPr>
        <w:t>D. Abschnitt 4: Verfahrensgeschichte (falls Insolvenzplan)</w:t>
      </w:r>
    </w:p>
    <w:p>
      <w:pPr>
        <w:jc w:val="left"/>
      </w:pPr>
      <w:r>
        <w:rPr>
          <w:i/>
        </w:rPr>
        <w:t>(Nur relevant, wenn der Insolvenzantrag gestellt wurde)</w:t>
      </w:r>
    </w:p>
    <w:p>
      <w:pPr>
        <w:pStyle w:val="ListBullet"/>
      </w:pPr>
      <w:r>
        <w:t>Antragsteller: Schuldnerin (freiwilliger Eigenantrag mit Eigenverwaltungsantrag nach § 270a InsO).</w:t>
      </w:r>
    </w:p>
    <w:p>
      <w:pPr>
        <w:pStyle w:val="ListBullet"/>
      </w:pPr>
      <w:r>
        <w:t>Antrag voraussichtlich: 16. Juni 2026.</w:t>
      </w:r>
    </w:p>
    <w:p>
      <w:pPr>
        <w:pStyle w:val="ListBullet"/>
      </w:pPr>
      <w:r>
        <w:t>Geplantes Aktenzeichen: 67g IN /26 (AG Hamburg, Insolvenzabt.) – noch nicht vergeben.</w:t>
      </w:r>
    </w:p>
    <w:p>
      <w:pPr>
        <w:pStyle w:val="ListBullet"/>
      </w:pPr>
      <w:r>
        <w:t>Vorläufige Eigenverwaltung: Antrag auf Anordnung (§ 270a InsO).</w:t>
      </w:r>
    </w:p>
    <w:p>
      <w:pPr>
        <w:pStyle w:val="ListBullet"/>
      </w:pPr>
      <w:r>
        <w:t>Vorläufiger Sachwalter: Kanzlei Brandt &amp; Söhne, Hamburg (Kontaktaufnahme durch Kanzlei Westphal am 1. Juni 2026 positiv verlaufen).</w:t>
      </w:r>
    </w:p>
    <w:p>
      <w:pPr>
        <w:pStyle w:val="ListBullet"/>
      </w:pPr>
      <w:r>
        <w:t>Insolvenzgeld: Drei-Monatszeitraum sichert Lohnfortzahlung für Juni, Juli, August 2026.</w:t>
      </w:r>
    </w:p>
    <w:p/>
    <w:p>
      <w:pPr>
        <w:pStyle w:val="Heading2"/>
      </w:pPr>
      <w:r>
        <w:rPr>
          <w:rFonts w:ascii="Times New Roman" w:hAnsi="Times New Roman"/>
        </w:rPr>
        <w:t>E. Abschnitt 5: Fortführungsprognose</w:t>
      </w:r>
    </w:p>
    <w:p>
      <w:pPr>
        <w:jc w:val="left"/>
      </w:pPr>
      <w:r>
        <w:t>Die wirtschaftliche Fortführungsprognose ist positiv. Gestützt wird sie auf:</w:t>
      </w:r>
    </w:p>
    <w:p>
      <w:pPr>
        <w:pStyle w:val="ListNumber"/>
      </w:pPr>
      <w:r>
        <w:rPr>
          <w:b/>
        </w:rPr>
        <w:t>Auftragsbestand:</w:t>
      </w:r>
      <w:r>
        <w:t xml:space="preserve"> 11,3 Mio. Euro, davon 4,2 Mio. Euro vertraglich gesichert. Stadtwerke-Nord-Auftrag (2,8 Mio. Euro) erwartet Q3 2026.</w:t>
      </w:r>
    </w:p>
    <w:p>
      <w:pPr>
        <w:pStyle w:val="ListNumber"/>
      </w:pPr>
      <w:r>
        <w:rPr>
          <w:b/>
        </w:rPr>
        <w:t>Marktposition:</w:t>
      </w:r>
      <w:r>
        <w:t xml:space="preserve"> Zertifizierung DIN EN 1090-2 EXC 3 schützt vor Substitution durch nichtzertifizierte Wettbewerber. Bahninfrastruktur-Segment wächst durch Bundesinvestitionsprogramm.</w:t>
      </w:r>
    </w:p>
    <w:p>
      <w:pPr>
        <w:pStyle w:val="ListNumber"/>
      </w:pPr>
      <w:r>
        <w:rPr>
          <w:b/>
        </w:rPr>
        <w:t>Strukturelle Verbesserungen:</w:t>
      </w:r>
      <w:r>
        <w:t xml:space="preserve"> Materialgleitklauseln in allen Neuverträgen, PMO-Einführung, Factoring-Option.</w:t>
      </w:r>
    </w:p>
    <w:p>
      <w:pPr>
        <w:pStyle w:val="ListNumber"/>
      </w:pPr>
      <w:r>
        <w:rPr>
          <w:b/>
        </w:rPr>
        <w:t>Investor-Finanzierung:</w:t>
      </w:r>
      <w:r>
        <w:t xml:space="preserve"> 1,4 Mio. Euro sichern Überbrückung der Liquiditätslücke und Erstauszahlung an Gläubiger.</w:t>
      </w:r>
    </w:p>
    <w:p>
      <w:pPr>
        <w:pStyle w:val="ListNumber"/>
      </w:pPr>
      <w:r>
        <w:rPr>
          <w:b/>
        </w:rPr>
        <w:t>Planrechnung:</w:t>
      </w:r>
      <w:r>
        <w:t xml:space="preserve"> EBITDA 2026 Plan 980 TEUR; 2027 Plan 1.800 TEUR. Bei Szenario "pessimistisch" (20 % Umsatzabweichung): EBITDA 2026 ca. 540 TEUR, Schuldendienst darstellbar.</w:t>
      </w:r>
    </w:p>
    <w:p/>
    <w:p>
      <w:pPr>
        <w:pStyle w:val="Heading2"/>
      </w:pPr>
      <w:r>
        <w:rPr>
          <w:rFonts w:ascii="Times New Roman" w:hAnsi="Times New Roman"/>
        </w:rPr>
        <w:t>F. Abschnitt 6: Sonderprüfungen und Anfechtungsansprüche</w:t>
      </w:r>
    </w:p>
    <w:p>
      <w:pPr>
        <w:pStyle w:val="Heading3"/>
      </w:pPr>
      <w:r>
        <w:rPr>
          <w:rFonts w:ascii="Times New Roman" w:hAnsi="Times New Roman"/>
        </w:rPr>
        <w:t>Sonderaktiva / Anfechtungsansprüche</w:t>
      </w:r>
    </w:p>
    <w:p>
      <w:pPr>
        <w:pStyle w:val="ListBullet"/>
      </w:pPr>
      <w:r>
        <w:rPr>
          <w:b/>
        </w:rPr>
        <w:t>Zahlungen an Gesellschafterin/Geschäftsführer in letzten 12 Monaten:</w:t>
      </w:r>
      <w:r>
        <w:t xml:space="preserve"> Keine Ausschüttungen. GF-Gehälter (Reimers 9.500 €/Monat, Petersen 8.200 €/Monat) sind marktüblich und wurden vom Sachwalter vorläufig akzeptiert. Zinszahlungen auf Gesellschafterdarlehen: letzte Zinszahlung September 2025 (28.500 Euro); ist im 12-Monatszeitraum vor einem potenziellem Insolvenzantrag (Juni 2026) und damit nach § 135 Abs. 1 Nr. 2 InsO anfechtbar. </w:t>
      </w:r>
      <w:r>
        <w:rPr>
          <w:b/>
        </w:rPr>
        <w:t>Anfechtungsanspruch: ca. 28.500 Euro</w:t>
      </w:r>
      <w:r>
        <w:t xml:space="preserve"> – wird in die Vergleichsrechnung als Aktivum (Insolvenzplan) aufgenommen.</w:t>
      </w:r>
    </w:p>
    <w:p>
      <w:pPr>
        <w:pStyle w:val="ListBullet"/>
      </w:pPr>
      <w:r>
        <w:rPr>
          <w:b/>
        </w:rPr>
        <w:t>Zahlungen an NordBank AG:</w:t>
      </w:r>
      <w:r>
        <w:t xml:space="preserve"> Nach Feststellung der Insolvenzreife wurden keine Zahlungen getätigt, die ein Insolvenzverwalter anfechten könnte. Die Kontokorrentabbuchungen bis März 2026 erfolgten im Rahmen des normalen Bankbetriebs.</w:t>
      </w:r>
    </w:p>
    <w:p>
      <w:pPr>
        <w:pStyle w:val="ListBullet"/>
      </w:pPr>
      <w:r>
        <w:rPr>
          <w:b/>
        </w:rPr>
        <w:t>Sicherheitenerwerb durch NordBank:</w:t>
      </w:r>
      <w:r>
        <w:t xml:space="preserve"> Globalzession besteht seit 2019; Anfechtungsrisiken nach § 130 InsO (kongruente Deckung, mind. 3 Monate vor Antrag) prüfen, sofern in den letzten 3 Monaten vor Antragstellung neue Forderungen zediert wurden. </w:t>
      </w:r>
      <w:r>
        <w:rPr>
          <w:b/>
        </w:rPr>
        <w:t>Offen.</w:t>
      </w:r>
    </w:p>
    <w:p>
      <w:pPr>
        <w:pStyle w:val="ListBullet"/>
      </w:pPr>
      <w:r>
        <w:rPr>
          <w:b/>
        </w:rPr>
        <w:t>Organhaftung (§ 15b InsO):</w:t>
      </w:r>
      <w:r>
        <w:t xml:space="preserve"> Keine Hinweise auf Zahlungen nach Insolvenzreife an Dritte. Prüfung noch nicht abgeschlossen.</w:t>
      </w:r>
    </w:p>
    <w:p/>
    <w:p>
      <w:pPr>
        <w:pStyle w:val="Heading2"/>
      </w:pPr>
      <w:r>
        <w:rPr>
          <w:rFonts w:ascii="Times New Roman" w:hAnsi="Times New Roman"/>
        </w:rPr>
        <w:t>G. Offene Punkte für Ausformulierung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Deadline</w:t>
            </w:r>
          </w:p>
        </w:tc>
      </w:tr>
      <w:tr>
        <w:tc>
          <w:tcPr>
            <w:tcW w:type="dxa" w:w="3024"/>
          </w:tcPr>
          <w:p>
            <w:r>
              <w:rPr>
                <w:rFonts w:ascii="Times New Roman" w:hAnsi="Times New Roman"/>
                <w:sz w:val="20"/>
              </w:rPr>
              <w:t>Vollständige Maschinenliste mit Gutachterwerten</w:t>
            </w:r>
          </w:p>
        </w:tc>
        <w:tc>
          <w:tcPr>
            <w:tcW w:type="dxa" w:w="3024"/>
          </w:tcPr>
          <w:p>
            <w:r>
              <w:rPr>
                <w:rFonts w:ascii="Times New Roman" w:hAnsi="Times New Roman"/>
                <w:sz w:val="20"/>
              </w:rPr>
              <w:t>SV Brandt</w:t>
            </w:r>
          </w:p>
        </w:tc>
        <w:tc>
          <w:tcPr>
            <w:tcW w:type="dxa" w:w="3024"/>
          </w:tcPr>
          <w:p>
            <w:r>
              <w:rPr>
                <w:rFonts w:ascii="Times New Roman" w:hAnsi="Times New Roman"/>
                <w:sz w:val="20"/>
              </w:rPr>
              <w:t>10.06.2026</w:t>
            </w:r>
          </w:p>
        </w:tc>
      </w:tr>
      <w:tr>
        <w:tc>
          <w:tcPr>
            <w:tcW w:type="dxa" w:w="3024"/>
          </w:tcPr>
          <w:p>
            <w:r>
              <w:rPr>
                <w:rFonts w:ascii="Times New Roman" w:hAnsi="Times New Roman"/>
                <w:sz w:val="20"/>
              </w:rPr>
              <w:t>Endgültiger Überschuldungsstatus (testiert)</w:t>
            </w:r>
          </w:p>
        </w:tc>
        <w:tc>
          <w:tcPr>
            <w:tcW w:type="dxa" w:w="3024"/>
          </w:tcPr>
          <w:p>
            <w:r>
              <w:rPr>
                <w:rFonts w:ascii="Times New Roman" w:hAnsi="Times New Roman"/>
                <w:sz w:val="20"/>
              </w:rPr>
              <w:t>StB Dresen</w:t>
            </w:r>
          </w:p>
        </w:tc>
        <w:tc>
          <w:tcPr>
            <w:tcW w:type="dxa" w:w="3024"/>
          </w:tcPr>
          <w:p>
            <w:r>
              <w:rPr>
                <w:rFonts w:ascii="Times New Roman" w:hAnsi="Times New Roman"/>
                <w:sz w:val="20"/>
              </w:rPr>
              <w:t>12.06.2026</w:t>
            </w:r>
          </w:p>
        </w:tc>
      </w:tr>
      <w:tr>
        <w:tc>
          <w:tcPr>
            <w:tcW w:type="dxa" w:w="3024"/>
          </w:tcPr>
          <w:p>
            <w:r>
              <w:rPr>
                <w:rFonts w:ascii="Times New Roman" w:hAnsi="Times New Roman"/>
                <w:sz w:val="20"/>
              </w:rPr>
              <w:t>Planrechnung (3 Szenarien) finalisiert</w:t>
            </w:r>
          </w:p>
        </w:tc>
        <w:tc>
          <w:tcPr>
            <w:tcW w:type="dxa" w:w="3024"/>
          </w:tcPr>
          <w:p>
            <w:r>
              <w:rPr>
                <w:rFonts w:ascii="Times New Roman" w:hAnsi="Times New Roman"/>
                <w:sz w:val="20"/>
              </w:rPr>
              <w:t>CFO Hollender</w:t>
            </w:r>
          </w:p>
        </w:tc>
        <w:tc>
          <w:tcPr>
            <w:tcW w:type="dxa" w:w="3024"/>
          </w:tcPr>
          <w:p>
            <w:r>
              <w:rPr>
                <w:rFonts w:ascii="Times New Roman" w:hAnsi="Times New Roman"/>
                <w:sz w:val="20"/>
              </w:rPr>
              <w:t>12.06.2026</w:t>
            </w:r>
          </w:p>
        </w:tc>
      </w:tr>
      <w:tr>
        <w:tc>
          <w:tcPr>
            <w:tcW w:type="dxa" w:w="3024"/>
          </w:tcPr>
          <w:p>
            <w:r>
              <w:rPr>
                <w:rFonts w:ascii="Times New Roman" w:hAnsi="Times New Roman"/>
                <w:sz w:val="20"/>
              </w:rPr>
              <w:t>Abschnitt Verfahrensgeschichte ausfüllen (nach Antrag)</w:t>
            </w:r>
          </w:p>
        </w:tc>
        <w:tc>
          <w:tcPr>
            <w:tcW w:type="dxa" w:w="3024"/>
          </w:tcPr>
          <w:p>
            <w:r>
              <w:rPr>
                <w:rFonts w:ascii="Times New Roman" w:hAnsi="Times New Roman"/>
                <w:sz w:val="20"/>
              </w:rPr>
              <w:t>RA Westphal</w:t>
            </w:r>
          </w:p>
        </w:tc>
        <w:tc>
          <w:tcPr>
            <w:tcW w:type="dxa" w:w="3024"/>
          </w:tcPr>
          <w:p>
            <w:r>
              <w:rPr>
                <w:rFonts w:ascii="Times New Roman" w:hAnsi="Times New Roman"/>
                <w:sz w:val="20"/>
              </w:rPr>
              <w:t>nach Antragstellung</w:t>
            </w:r>
          </w:p>
        </w:tc>
      </w:tr>
      <w:tr>
        <w:tc>
          <w:tcPr>
            <w:tcW w:type="dxa" w:w="3024"/>
          </w:tcPr>
          <w:p>
            <w:r>
              <w:rPr>
                <w:rFonts w:ascii="Times New Roman" w:hAnsi="Times New Roman"/>
                <w:sz w:val="20"/>
              </w:rPr>
              <w:t>Anfechtungsansprüche abschließend quantifiziert</w:t>
            </w:r>
          </w:p>
        </w:tc>
        <w:tc>
          <w:tcPr>
            <w:tcW w:type="dxa" w:w="3024"/>
          </w:tcPr>
          <w:p>
            <w:r>
              <w:rPr>
                <w:rFonts w:ascii="Times New Roman" w:hAnsi="Times New Roman"/>
                <w:sz w:val="20"/>
              </w:rPr>
              <w:t>RA Westphal</w:t>
            </w:r>
          </w:p>
        </w:tc>
        <w:tc>
          <w:tcPr>
            <w:tcW w:type="dxa" w:w="3024"/>
          </w:tcPr>
          <w:p>
            <w:r>
              <w:rPr>
                <w:rFonts w:ascii="Times New Roman" w:hAnsi="Times New Roman"/>
                <w:sz w:val="20"/>
              </w:rPr>
              <w:t>16.06.2026</w:t>
            </w:r>
          </w:p>
        </w:tc>
      </w:tr>
      <w:tr>
        <w:tc>
          <w:tcPr>
            <w:tcW w:type="dxa" w:w="3024"/>
          </w:tcPr>
          <w:p>
            <w:r>
              <w:rPr>
                <w:rFonts w:ascii="Times New Roman" w:hAnsi="Times New Roman"/>
                <w:sz w:val="20"/>
              </w:rPr>
              <w:t>Sonderaktiva Globalzession</w:t>
            </w:r>
          </w:p>
        </w:tc>
        <w:tc>
          <w:tcPr>
            <w:tcW w:type="dxa" w:w="3024"/>
          </w:tcPr>
          <w:p>
            <w:r>
              <w:rPr>
                <w:rFonts w:ascii="Times New Roman" w:hAnsi="Times New Roman"/>
                <w:sz w:val="20"/>
              </w:rPr>
              <w:t>RA Westphal</w:t>
            </w:r>
          </w:p>
        </w:tc>
        <w:tc>
          <w:tcPr>
            <w:tcW w:type="dxa" w:w="3024"/>
          </w:tcPr>
          <w:p>
            <w:r>
              <w:rPr>
                <w:rFonts w:ascii="Times New Roman" w:hAnsi="Times New Roman"/>
                <w:sz w:val="20"/>
              </w:rPr>
              <w:t>16.06.2026</w:t>
            </w:r>
          </w:p>
        </w:tc>
      </w:tr>
    </w:tbl>
    <w:p/>
    <w:p>
      <w:pPr>
        <w:jc w:val="left"/>
      </w:pPr>
      <w:r>
        <w:rPr>
          <w:i/>
        </w:rPr>
        <w:t>Diese Rohnotizen sind eine interne Arbeitsfassung. Sie werden nach Abschluss aller offenen Punkte in das DOCX-Zieldokument überführt.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