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Steuer- und Sozialversicherungsrisiken im Restrukturierungsverfahren</w:t>
      </w:r>
    </w:p>
    <w:p>
      <w:pPr>
        <w:jc w:val="left"/>
      </w:pPr>
      <w:r>
        <w:rPr>
          <w:b/>
        </w:rPr>
        <w:t>Aktenzeichen:</w:t>
      </w:r>
      <w:r>
        <w:t xml:space="preserve"> MH-2026-001</w:t>
      </w:r>
    </w:p>
    <w:p>
      <w:pPr>
        <w:jc w:val="left"/>
      </w:pPr>
      <w:r>
        <w:rPr>
          <w:b/>
        </w:rPr>
        <w:t>Datum:</w:t>
      </w:r>
      <w:r>
        <w:t xml:space="preserve"> 9. Juni 2026</w:t>
      </w:r>
    </w:p>
    <w:p>
      <w:pPr>
        <w:jc w:val="left"/>
      </w:pPr>
      <w:r>
        <w:rPr>
          <w:b/>
        </w:rPr>
        <w:t>Verfasser:</w:t>
      </w:r>
      <w:r>
        <w:t xml:space="preserve"> StB Axel Dresen, Dresen &amp; Partner GmbH WPG, Hamburg; ergänzt durch RA Dr. K. Westphal</w:t>
      </w:r>
    </w:p>
    <w:p>
      <w:pPr>
        <w:jc w:val="left"/>
      </w:pPr>
      <w:r>
        <w:rPr>
          <w:b/>
        </w:rPr>
        <w:t>Status:</w:t>
      </w:r>
      <w:r>
        <w:t xml:space="preserve"> Arbeitsfassung für Sanierungsplanung</w:t>
      </w:r>
    </w:p>
    <w:p/>
    <w:p>
      <w:pPr>
        <w:pStyle w:val="Heading2"/>
      </w:pPr>
      <w:r>
        <w:rPr>
          <w:rFonts w:ascii="Times New Roman" w:hAnsi="Times New Roman"/>
        </w:rPr>
        <w:t>1. Vorbemerkung</w:t>
      </w:r>
    </w:p>
    <w:p>
      <w:pPr>
        <w:jc w:val="left"/>
      </w:pPr>
      <w:r>
        <w:t>Die steuerlichen und sozialversicherungsrechtlichen Risiken sind im Rahmen des Insolvenzplan- bzw. StaRUG-Restrukturierungsverfahrens sorgfältig zu quantifizieren, da sie sowohl die Vergleichsrechnung als auch den Liquiditätsbedarf im Planvollzug unmittelbar beeinflussen. Insbesondere der Sanierungsgewinn aus dem Forderungsverzicht der Gesellschafterin und der Gläubiger muss steuerrechtlich abgesichert sein, bevor der Plan angenommen wird.</w:t>
      </w:r>
    </w:p>
    <w:p/>
    <w:p>
      <w:pPr>
        <w:pStyle w:val="Heading2"/>
      </w:pPr>
      <w:r>
        <w:rPr>
          <w:rFonts w:ascii="Times New Roman" w:hAnsi="Times New Roman"/>
        </w:rPr>
        <w:t>2. Laufende Steuerrückstände</w:t>
      </w:r>
    </w:p>
    <w:p>
      <w:pPr>
        <w:pStyle w:val="Heading3"/>
      </w:pPr>
      <w:r>
        <w:rPr>
          <w:rFonts w:ascii="Times New Roman" w:hAnsi="Times New Roman"/>
        </w:rPr>
        <w:t>2.1 Umsatzsteuer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Zeitraum</w:t>
            </w:r>
          </w:p>
        </w:tc>
        <w:tc>
          <w:tcPr>
            <w:tcW w:type="dxa" w:w="2268"/>
          </w:tcPr>
          <w:p>
            <w:r>
              <w:rPr>
                <w:rFonts w:ascii="Times New Roman" w:hAnsi="Times New Roman"/>
                <w:b/>
                <w:sz w:val="20"/>
              </w:rPr>
              <w:t>Betrag</w:t>
            </w:r>
          </w:p>
        </w:tc>
        <w:tc>
          <w:tcPr>
            <w:tcW w:type="dxa" w:w="2268"/>
          </w:tcPr>
          <w:p>
            <w:r>
              <w:rPr>
                <w:rFonts w:ascii="Times New Roman" w:hAnsi="Times New Roman"/>
                <w:b/>
                <w:sz w:val="20"/>
              </w:rPr>
              <w:t>Status</w:t>
            </w:r>
          </w:p>
        </w:tc>
        <w:tc>
          <w:tcPr>
            <w:tcW w:type="dxa" w:w="2268"/>
          </w:tcPr>
          <w:p>
            <w:r>
              <w:rPr>
                <w:rFonts w:ascii="Times New Roman" w:hAnsi="Times New Roman"/>
                <w:b/>
                <w:sz w:val="20"/>
              </w:rPr>
              <w:t>Fälligkeitsdatum</w:t>
            </w:r>
          </w:p>
        </w:tc>
      </w:tr>
      <w:tr>
        <w:tc>
          <w:tcPr>
            <w:tcW w:type="dxa" w:w="2268"/>
          </w:tcPr>
          <w:p>
            <w:r>
              <w:rPr>
                <w:rFonts w:ascii="Times New Roman" w:hAnsi="Times New Roman"/>
                <w:sz w:val="20"/>
              </w:rPr>
              <w:t>Februar 2026</w:t>
            </w:r>
          </w:p>
        </w:tc>
        <w:tc>
          <w:tcPr>
            <w:tcW w:type="dxa" w:w="2268"/>
          </w:tcPr>
          <w:p>
            <w:r>
              <w:rPr>
                <w:rFonts w:ascii="Times New Roman" w:hAnsi="Times New Roman"/>
                <w:sz w:val="20"/>
              </w:rPr>
              <w:t>92.000 €</w:t>
            </w:r>
          </w:p>
        </w:tc>
        <w:tc>
          <w:tcPr>
            <w:tcW w:type="dxa" w:w="2268"/>
          </w:tcPr>
          <w:p>
            <w:r>
              <w:rPr>
                <w:rFonts w:ascii="Times New Roman" w:hAnsi="Times New Roman"/>
                <w:sz w:val="20"/>
              </w:rPr>
              <w:t>Rückstand</w:t>
            </w:r>
          </w:p>
        </w:tc>
        <w:tc>
          <w:tcPr>
            <w:tcW w:type="dxa" w:w="2268"/>
          </w:tcPr>
          <w:p>
            <w:r>
              <w:rPr>
                <w:rFonts w:ascii="Times New Roman" w:hAnsi="Times New Roman"/>
                <w:sz w:val="20"/>
              </w:rPr>
              <w:t>10.03.2026</w:t>
            </w:r>
          </w:p>
        </w:tc>
      </w:tr>
      <w:tr>
        <w:tc>
          <w:tcPr>
            <w:tcW w:type="dxa" w:w="2268"/>
          </w:tcPr>
          <w:p>
            <w:r>
              <w:rPr>
                <w:rFonts w:ascii="Times New Roman" w:hAnsi="Times New Roman"/>
                <w:sz w:val="20"/>
              </w:rPr>
              <w:t>März 2026</w:t>
            </w:r>
          </w:p>
        </w:tc>
        <w:tc>
          <w:tcPr>
            <w:tcW w:type="dxa" w:w="2268"/>
          </w:tcPr>
          <w:p>
            <w:r>
              <w:rPr>
                <w:rFonts w:ascii="Times New Roman" w:hAnsi="Times New Roman"/>
                <w:sz w:val="20"/>
              </w:rPr>
              <w:t>88.000 €</w:t>
            </w:r>
          </w:p>
        </w:tc>
        <w:tc>
          <w:tcPr>
            <w:tcW w:type="dxa" w:w="2268"/>
          </w:tcPr>
          <w:p>
            <w:r>
              <w:rPr>
                <w:rFonts w:ascii="Times New Roman" w:hAnsi="Times New Roman"/>
                <w:sz w:val="20"/>
              </w:rPr>
              <w:t>Rückstand</w:t>
            </w:r>
          </w:p>
        </w:tc>
        <w:tc>
          <w:tcPr>
            <w:tcW w:type="dxa" w:w="2268"/>
          </w:tcPr>
          <w:p>
            <w:r>
              <w:rPr>
                <w:rFonts w:ascii="Times New Roman" w:hAnsi="Times New Roman"/>
                <w:sz w:val="20"/>
              </w:rPr>
              <w:t>10.04.2026</w:t>
            </w:r>
          </w:p>
        </w:tc>
      </w:tr>
      <w:tr>
        <w:tc>
          <w:tcPr>
            <w:tcW w:type="dxa" w:w="2268"/>
          </w:tcPr>
          <w:p>
            <w:r>
              <w:rPr>
                <w:rFonts w:ascii="Times New Roman" w:hAnsi="Times New Roman"/>
                <w:sz w:val="20"/>
              </w:rPr>
              <w:t>April 2026</w:t>
            </w:r>
          </w:p>
        </w:tc>
        <w:tc>
          <w:tcPr>
            <w:tcW w:type="dxa" w:w="2268"/>
          </w:tcPr>
          <w:p>
            <w:r>
              <w:rPr>
                <w:rFonts w:ascii="Times New Roman" w:hAnsi="Times New Roman"/>
                <w:sz w:val="20"/>
              </w:rPr>
              <w:t>71.000 €</w:t>
            </w:r>
          </w:p>
        </w:tc>
        <w:tc>
          <w:tcPr>
            <w:tcW w:type="dxa" w:w="2268"/>
          </w:tcPr>
          <w:p>
            <w:r>
              <w:rPr>
                <w:rFonts w:ascii="Times New Roman" w:hAnsi="Times New Roman"/>
                <w:sz w:val="20"/>
              </w:rPr>
              <w:t>Stundungsantrag</w:t>
            </w:r>
          </w:p>
        </w:tc>
        <w:tc>
          <w:tcPr>
            <w:tcW w:type="dxa" w:w="2268"/>
          </w:tcPr>
          <w:p>
            <w:r>
              <w:rPr>
                <w:rFonts w:ascii="Times New Roman" w:hAnsi="Times New Roman"/>
                <w:sz w:val="20"/>
              </w:rPr>
              <w:t>10.05.2026</w:t>
            </w:r>
          </w:p>
        </w:tc>
      </w:tr>
      <w:tr>
        <w:tc>
          <w:tcPr>
            <w:tcW w:type="dxa" w:w="2268"/>
          </w:tcPr>
          <w:p>
            <w:r>
              <w:rPr>
                <w:rFonts w:ascii="Times New Roman" w:hAnsi="Times New Roman"/>
                <w:sz w:val="20"/>
              </w:rPr>
              <w:t>Mai 2026</w:t>
            </w:r>
          </w:p>
        </w:tc>
        <w:tc>
          <w:tcPr>
            <w:tcW w:type="dxa" w:w="2268"/>
          </w:tcPr>
          <w:p>
            <w:r>
              <w:rPr>
                <w:rFonts w:ascii="Times New Roman" w:hAnsi="Times New Roman"/>
                <w:sz w:val="20"/>
              </w:rPr>
              <w:t>ca. 68.000 €</w:t>
            </w:r>
          </w:p>
        </w:tc>
        <w:tc>
          <w:tcPr>
            <w:tcW w:type="dxa" w:w="2268"/>
          </w:tcPr>
          <w:p>
            <w:r>
              <w:rPr>
                <w:rFonts w:ascii="Times New Roman" w:hAnsi="Times New Roman"/>
                <w:sz w:val="20"/>
              </w:rPr>
              <w:t>noch nicht fällig</w:t>
            </w:r>
          </w:p>
        </w:tc>
        <w:tc>
          <w:tcPr>
            <w:tcW w:type="dxa" w:w="2268"/>
          </w:tcPr>
          <w:p>
            <w:r>
              <w:rPr>
                <w:rFonts w:ascii="Times New Roman" w:hAnsi="Times New Roman"/>
                <w:sz w:val="20"/>
              </w:rPr>
              <w:t>10.06.2026</w:t>
            </w:r>
          </w:p>
        </w:tc>
      </w:tr>
      <w:tr>
        <w:tc>
          <w:tcPr>
            <w:tcW w:type="dxa" w:w="2268"/>
          </w:tcPr>
          <w:p>
            <w:r>
              <w:rPr>
                <w:rFonts w:ascii="Times New Roman" w:hAnsi="Times New Roman"/>
                <w:b/>
                <w:sz w:val="20"/>
              </w:rPr>
              <w:t>Gesamt Rückstand</w:t>
            </w:r>
          </w:p>
        </w:tc>
        <w:tc>
          <w:tcPr>
            <w:tcW w:type="dxa" w:w="2268"/>
          </w:tcPr>
          <w:p>
            <w:r>
              <w:rPr>
                <w:rFonts w:ascii="Times New Roman" w:hAnsi="Times New Roman"/>
                <w:b/>
                <w:sz w:val="20"/>
              </w:rPr>
              <w:t>251.000 €</w:t>
            </w:r>
          </w:p>
        </w:tc>
        <w:tc>
          <w:tcPr>
            <w:tcW w:type="dxa" w:w="2268"/>
          </w:tcPr>
          <w:p/>
        </w:tc>
        <w:tc>
          <w:tcPr>
            <w:tcW w:type="dxa" w:w="2268"/>
          </w:tcPr>
          <w:p/>
        </w:tc>
      </w:tr>
    </w:tbl>
    <w:p>
      <w:pPr>
        <w:jc w:val="left"/>
      </w:pPr>
      <w:r>
        <w:rPr>
          <w:b/>
        </w:rPr>
        <w:t>Stundungsantrag:</w:t>
      </w:r>
      <w:r>
        <w:t xml:space="preserve"> Mit Schreiben vom 5. Mai 2026 hat die Mandantin beim Finanzamt Hamburg-Mitte einen Stundungsantrag nach § 222 AO für die USt-Rückstände Februar und März 2026 gestellt. Ergebnis noch offen. Das Finanzamt hat telefonisch mitgeteilt, dass eine Stundung nur gegen Nachweis der Fortführungsfähigkeit und eines verbindlichen Sanierungskonzepts in Betracht kommt. Dieser Nachweis soll durch den vorliegenden Planentwurf erbracht werden.</w:t>
      </w:r>
    </w:p>
    <w:p>
      <w:pPr>
        <w:jc w:val="left"/>
      </w:pPr>
      <w:r>
        <w:rPr>
          <w:b/>
        </w:rPr>
        <w:t>Risiko:</w:t>
      </w:r>
      <w:r>
        <w:t xml:space="preserve"> Sollte das Finanzamt den Stundungsantrag ablehnen und vollstrecken, würde dies die Zahlungsunfähigkeit der Schuldnerin akut auslösen. Vollstreckungsschutz im StaRUG nach § 49 StaRUG (Stabilisierungsanordnung) wäre dann zu beantragen.</w:t>
      </w:r>
    </w:p>
    <w:p>
      <w:pPr>
        <w:pStyle w:val="Heading3"/>
      </w:pPr>
      <w:r>
        <w:rPr>
          <w:rFonts w:ascii="Times New Roman" w:hAnsi="Times New Roman"/>
        </w:rPr>
        <w:t>2.2 Lohnsteuer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Betrag</w:t>
            </w:r>
          </w:p>
        </w:tc>
        <w:tc>
          <w:tcPr>
            <w:tcW w:type="dxa" w:w="3024"/>
          </w:tcPr>
          <w:p>
            <w:r>
              <w:rPr>
                <w:rFonts w:ascii="Times New Roman" w:hAnsi="Times New Roman"/>
                <w:b/>
                <w:sz w:val="20"/>
              </w:rPr>
              <w:t>Status</w:t>
            </w:r>
          </w:p>
        </w:tc>
      </w:tr>
      <w:tr>
        <w:tc>
          <w:tcPr>
            <w:tcW w:type="dxa" w:w="3024"/>
          </w:tcPr>
          <w:p>
            <w:r>
              <w:rPr>
                <w:rFonts w:ascii="Times New Roman" w:hAnsi="Times New Roman"/>
                <w:sz w:val="20"/>
              </w:rPr>
              <w:t>April 2026</w:t>
            </w:r>
          </w:p>
        </w:tc>
        <w:tc>
          <w:tcPr>
            <w:tcW w:type="dxa" w:w="3024"/>
          </w:tcPr>
          <w:p>
            <w:r>
              <w:rPr>
                <w:rFonts w:ascii="Times New Roman" w:hAnsi="Times New Roman"/>
                <w:sz w:val="20"/>
              </w:rPr>
              <w:t>47.000 €</w:t>
            </w:r>
          </w:p>
        </w:tc>
        <w:tc>
          <w:tcPr>
            <w:tcW w:type="dxa" w:w="3024"/>
          </w:tcPr>
          <w:p>
            <w:r>
              <w:rPr>
                <w:rFonts w:ascii="Times New Roman" w:hAnsi="Times New Roman"/>
                <w:sz w:val="20"/>
              </w:rPr>
              <w:t>am 20.05.2026 gezahlt</w:t>
            </w:r>
          </w:p>
        </w:tc>
      </w:tr>
      <w:tr>
        <w:tc>
          <w:tcPr>
            <w:tcW w:type="dxa" w:w="3024"/>
          </w:tcPr>
          <w:p>
            <w:r>
              <w:rPr>
                <w:rFonts w:ascii="Times New Roman" w:hAnsi="Times New Roman"/>
                <w:sz w:val="20"/>
              </w:rPr>
              <w:t>Mai 2026</w:t>
            </w:r>
          </w:p>
        </w:tc>
        <w:tc>
          <w:tcPr>
            <w:tcW w:type="dxa" w:w="3024"/>
          </w:tcPr>
          <w:p>
            <w:r>
              <w:rPr>
                <w:rFonts w:ascii="Times New Roman" w:hAnsi="Times New Roman"/>
                <w:sz w:val="20"/>
              </w:rPr>
              <w:t>49.000 €</w:t>
            </w:r>
          </w:p>
        </w:tc>
        <w:tc>
          <w:tcPr>
            <w:tcW w:type="dxa" w:w="3024"/>
          </w:tcPr>
          <w:p>
            <w:r>
              <w:rPr>
                <w:rFonts w:ascii="Times New Roman" w:hAnsi="Times New Roman"/>
                <w:sz w:val="20"/>
              </w:rPr>
              <w:t>planmäßig am 10.06.2026 fällig</w:t>
            </w:r>
          </w:p>
        </w:tc>
      </w:tr>
    </w:tbl>
    <w:p>
      <w:pPr>
        <w:jc w:val="left"/>
      </w:pPr>
      <w:r>
        <w:t>Die Lohnsteuer für Mai 2026 ist aus der Investor-Tranche oder aus dem Sparkasse-Holstein-Konto zu bedienen. Rückstand aktuell: 0 Euro (nach Teilzahlung April).</w:t>
      </w:r>
    </w:p>
    <w:p>
      <w:pPr>
        <w:pStyle w:val="Heading3"/>
      </w:pPr>
      <w:r>
        <w:rPr>
          <w:rFonts w:ascii="Times New Roman" w:hAnsi="Times New Roman"/>
        </w:rPr>
        <w:t>2.3 Körperschaftsteuer und Gewerbesteuer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Jahr</w:t>
            </w:r>
          </w:p>
        </w:tc>
        <w:tc>
          <w:tcPr>
            <w:tcW w:type="dxa" w:w="2268"/>
          </w:tcPr>
          <w:p>
            <w:r>
              <w:rPr>
                <w:rFonts w:ascii="Times New Roman" w:hAnsi="Times New Roman"/>
                <w:b/>
                <w:sz w:val="20"/>
              </w:rPr>
              <w:t>KSt (geschätzt)</w:t>
            </w:r>
          </w:p>
        </w:tc>
        <w:tc>
          <w:tcPr>
            <w:tcW w:type="dxa" w:w="2268"/>
          </w:tcPr>
          <w:p>
            <w:r>
              <w:rPr>
                <w:rFonts w:ascii="Times New Roman" w:hAnsi="Times New Roman"/>
                <w:b/>
                <w:sz w:val="20"/>
              </w:rPr>
              <w:t>GewSt (geschätzt)</w:t>
            </w:r>
          </w:p>
        </w:tc>
        <w:tc>
          <w:tcPr>
            <w:tcW w:type="dxa" w:w="2268"/>
          </w:tcPr>
          <w:p>
            <w:r>
              <w:rPr>
                <w:rFonts w:ascii="Times New Roman" w:hAnsi="Times New Roman"/>
                <w:b/>
                <w:sz w:val="20"/>
              </w:rPr>
              <w:t>Status</w:t>
            </w:r>
          </w:p>
        </w:tc>
      </w:tr>
      <w:tr>
        <w:tc>
          <w:tcPr>
            <w:tcW w:type="dxa" w:w="2268"/>
          </w:tcPr>
          <w:p>
            <w:r>
              <w:rPr>
                <w:rFonts w:ascii="Times New Roman" w:hAnsi="Times New Roman"/>
                <w:sz w:val="20"/>
              </w:rPr>
              <w:t>2024</w:t>
            </w:r>
          </w:p>
        </w:tc>
        <w:tc>
          <w:tcPr>
            <w:tcW w:type="dxa" w:w="2268"/>
          </w:tcPr>
          <w:p>
            <w:r>
              <w:rPr>
                <w:rFonts w:ascii="Times New Roman" w:hAnsi="Times New Roman"/>
                <w:sz w:val="20"/>
              </w:rPr>
              <w:t>0 € (Verlust)</w:t>
            </w:r>
          </w:p>
        </w:tc>
        <w:tc>
          <w:tcPr>
            <w:tcW w:type="dxa" w:w="2268"/>
          </w:tcPr>
          <w:p>
            <w:r>
              <w:rPr>
                <w:rFonts w:ascii="Times New Roman" w:hAnsi="Times New Roman"/>
                <w:sz w:val="20"/>
              </w:rPr>
              <w:t>0 € (Verlust)</w:t>
            </w:r>
          </w:p>
        </w:tc>
        <w:tc>
          <w:tcPr>
            <w:tcW w:type="dxa" w:w="2268"/>
          </w:tcPr>
          <w:p>
            <w:r>
              <w:rPr>
                <w:rFonts w:ascii="Times New Roman" w:hAnsi="Times New Roman"/>
                <w:sz w:val="20"/>
              </w:rPr>
              <w:t>noch nicht veranlagt</w:t>
            </w:r>
          </w:p>
        </w:tc>
      </w:tr>
      <w:tr>
        <w:tc>
          <w:tcPr>
            <w:tcW w:type="dxa" w:w="2268"/>
          </w:tcPr>
          <w:p>
            <w:r>
              <w:rPr>
                <w:rFonts w:ascii="Times New Roman" w:hAnsi="Times New Roman"/>
                <w:sz w:val="20"/>
              </w:rPr>
              <w:t>2025</w:t>
            </w:r>
          </w:p>
        </w:tc>
        <w:tc>
          <w:tcPr>
            <w:tcW w:type="dxa" w:w="2268"/>
          </w:tcPr>
          <w:p>
            <w:r>
              <w:rPr>
                <w:rFonts w:ascii="Times New Roman" w:hAnsi="Times New Roman"/>
                <w:sz w:val="20"/>
              </w:rPr>
              <w:t>0 € (Verlust)</w:t>
            </w:r>
          </w:p>
        </w:tc>
        <w:tc>
          <w:tcPr>
            <w:tcW w:type="dxa" w:w="2268"/>
          </w:tcPr>
          <w:p>
            <w:r>
              <w:rPr>
                <w:rFonts w:ascii="Times New Roman" w:hAnsi="Times New Roman"/>
                <w:sz w:val="20"/>
              </w:rPr>
              <w:t>0 € (Verlust)</w:t>
            </w:r>
          </w:p>
        </w:tc>
        <w:tc>
          <w:tcPr>
            <w:tcW w:type="dxa" w:w="2268"/>
          </w:tcPr>
          <w:p>
            <w:r>
              <w:rPr>
                <w:rFonts w:ascii="Times New Roman" w:hAnsi="Times New Roman"/>
                <w:sz w:val="20"/>
              </w:rPr>
              <w:t>noch nicht veranlagt</w:t>
            </w:r>
          </w:p>
        </w:tc>
      </w:tr>
      <w:tr>
        <w:tc>
          <w:tcPr>
            <w:tcW w:type="dxa" w:w="2268"/>
          </w:tcPr>
          <w:p>
            <w:r>
              <w:rPr>
                <w:rFonts w:ascii="Times New Roman" w:hAnsi="Times New Roman"/>
                <w:sz w:val="20"/>
              </w:rPr>
              <w:t>2026 (Plan)</w:t>
            </w:r>
          </w:p>
        </w:tc>
        <w:tc>
          <w:tcPr>
            <w:tcW w:type="dxa" w:w="2268"/>
          </w:tcPr>
          <w:p>
            <w:r>
              <w:rPr>
                <w:rFonts w:ascii="Times New Roman" w:hAnsi="Times New Roman"/>
                <w:sz w:val="20"/>
              </w:rPr>
              <w:t>ca. 98.000 €</w:t>
            </w:r>
          </w:p>
        </w:tc>
        <w:tc>
          <w:tcPr>
            <w:tcW w:type="dxa" w:w="2268"/>
          </w:tcPr>
          <w:p>
            <w:r>
              <w:rPr>
                <w:rFonts w:ascii="Times New Roman" w:hAnsi="Times New Roman"/>
                <w:sz w:val="20"/>
              </w:rPr>
              <w:t>ca. 126.000 €</w:t>
            </w:r>
          </w:p>
        </w:tc>
        <w:tc>
          <w:tcPr>
            <w:tcW w:type="dxa" w:w="2268"/>
          </w:tcPr>
          <w:p>
            <w:r>
              <w:rPr>
                <w:rFonts w:ascii="Times New Roman" w:hAnsi="Times New Roman"/>
                <w:sz w:val="20"/>
              </w:rPr>
              <w:t>Steuerpflicht erst ab Planvollzug</w:t>
            </w:r>
          </w:p>
        </w:tc>
      </w:tr>
    </w:tbl>
    <w:p>
      <w:pPr>
        <w:jc w:val="left"/>
      </w:pPr>
      <w:r>
        <w:rPr>
          <w:b/>
        </w:rPr>
        <w:t>Verlustvorträge:</w:t>
      </w:r>
      <w:r>
        <w:t xml:space="preserve"> Per 31.12.2024 bestehen laut Steuerberater körperschaftsteuerliche Verlustvorträge von ca. 1,24 Mio. Euro und gewerbesteuerliche Verlustvorträge von ca. 1,41 Mio. Euro. Diese reduzieren die künftige Steuerlast erheblich, aber nur soweit sie nach § 8c KStG nicht durch schädlichen Anteilseignerwechsel weggefallen sind. </w:t>
      </w:r>
      <w:r>
        <w:rPr>
          <w:b/>
        </w:rPr>
        <w:t>Prüfung erforderlich:</w:t>
      </w:r>
      <w:r>
        <w:t xml:space="preserve"> Ob ein Anteilseignerwechsel im StaRUG-Plan oder im Insolvenzplan durch die Verpfändung/Übertragung von GmbH-Anteilen als schädlich gilt. Nach § 8c Abs. 1a KStG (Sanierungsklausel) können Verlustvorträge erhalten bleiben, wenn der Anteilserwerb Sanierungszwecken dient. Antrag ist zu stellen.</w:t>
      </w:r>
    </w:p>
    <w:p/>
    <w:p>
      <w:pPr>
        <w:pStyle w:val="Heading2"/>
      </w:pPr>
      <w:r>
        <w:rPr>
          <w:rFonts w:ascii="Times New Roman" w:hAnsi="Times New Roman"/>
        </w:rPr>
        <w:t>3. Sanierungsgewinn und § 3a EStG</w:t>
      </w:r>
    </w:p>
    <w:p>
      <w:pPr>
        <w:pStyle w:val="Heading3"/>
      </w:pPr>
      <w:r>
        <w:rPr>
          <w:rFonts w:ascii="Times New Roman" w:hAnsi="Times New Roman"/>
        </w:rPr>
        <w:t>3.1 Entstehung des Sanierungsgewinns</w:t>
      </w:r>
    </w:p>
    <w:p>
      <w:pPr>
        <w:jc w:val="left"/>
      </w:pPr>
      <w:r>
        <w:t>Im Plan sind folgende Forderungsverzichte vorgesehen: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Gläubiger</w:t>
            </w:r>
          </w:p>
        </w:tc>
        <w:tc>
          <w:tcPr>
            <w:tcW w:type="dxa" w:w="4536"/>
          </w:tcPr>
          <w:p>
            <w:r>
              <w:rPr>
                <w:rFonts w:ascii="Times New Roman" w:hAnsi="Times New Roman"/>
                <w:b/>
                <w:sz w:val="20"/>
              </w:rPr>
              <w:t>Verzichtsbetrag (gerundet)</w:t>
            </w:r>
          </w:p>
        </w:tc>
      </w:tr>
      <w:tr>
        <w:tc>
          <w:tcPr>
            <w:tcW w:type="dxa" w:w="4536"/>
          </w:tcPr>
          <w:p>
            <w:r>
              <w:rPr>
                <w:rFonts w:ascii="Times New Roman" w:hAnsi="Times New Roman"/>
                <w:sz w:val="20"/>
              </w:rPr>
              <w:t>NordBank AG (Erlass Restschuld nach Planquote)</w:t>
            </w:r>
          </w:p>
        </w:tc>
        <w:tc>
          <w:tcPr>
            <w:tcW w:type="dxa" w:w="4536"/>
          </w:tcPr>
          <w:p>
            <w:r>
              <w:rPr>
                <w:rFonts w:ascii="Times New Roman" w:hAnsi="Times New Roman"/>
                <w:sz w:val="20"/>
              </w:rPr>
              <w:t>ca. 1.787.500 €</w:t>
            </w:r>
          </w:p>
        </w:tc>
      </w:tr>
      <w:tr>
        <w:tc>
          <w:tcPr>
            <w:tcW w:type="dxa" w:w="4536"/>
          </w:tcPr>
          <w:p>
            <w:r>
              <w:rPr>
                <w:rFonts w:ascii="Times New Roman" w:hAnsi="Times New Roman"/>
                <w:sz w:val="20"/>
              </w:rPr>
              <w:t>LeasingWerk GmbH (Planquote 50 %, Restschuld)</w:t>
            </w:r>
          </w:p>
        </w:tc>
        <w:tc>
          <w:tcPr>
            <w:tcW w:type="dxa" w:w="4536"/>
          </w:tcPr>
          <w:p>
            <w:r>
              <w:rPr>
                <w:rFonts w:ascii="Times New Roman" w:hAnsi="Times New Roman"/>
                <w:sz w:val="20"/>
              </w:rPr>
              <w:t>370.000 €</w:t>
            </w:r>
          </w:p>
        </w:tc>
      </w:tr>
      <w:tr>
        <w:tc>
          <w:tcPr>
            <w:tcW w:type="dxa" w:w="4536"/>
          </w:tcPr>
          <w:p>
            <w:r>
              <w:rPr>
                <w:rFonts w:ascii="Times New Roman" w:hAnsi="Times New Roman"/>
                <w:sz w:val="20"/>
              </w:rPr>
              <w:t>Stahlhandel Küste GmbH (Planquote 60 %)</w:t>
            </w:r>
          </w:p>
        </w:tc>
        <w:tc>
          <w:tcPr>
            <w:tcW w:type="dxa" w:w="4536"/>
          </w:tcPr>
          <w:p>
            <w:r>
              <w:rPr>
                <w:rFonts w:ascii="Times New Roman" w:hAnsi="Times New Roman"/>
                <w:sz w:val="20"/>
              </w:rPr>
              <w:t>244.000 €</w:t>
            </w:r>
          </w:p>
        </w:tc>
      </w:tr>
      <w:tr>
        <w:tc>
          <w:tcPr>
            <w:tcW w:type="dxa" w:w="4536"/>
          </w:tcPr>
          <w:p>
            <w:r>
              <w:rPr>
                <w:rFonts w:ascii="Times New Roman" w:hAnsi="Times New Roman"/>
                <w:sz w:val="20"/>
              </w:rPr>
              <w:t>Gruppe 3 (übrige Lieferanten, Planquote 30 %)</w:t>
            </w:r>
          </w:p>
        </w:tc>
        <w:tc>
          <w:tcPr>
            <w:tcW w:type="dxa" w:w="4536"/>
          </w:tcPr>
          <w:p>
            <w:r>
              <w:rPr>
                <w:rFonts w:ascii="Times New Roman" w:hAnsi="Times New Roman"/>
                <w:sz w:val="20"/>
              </w:rPr>
              <w:t>413.000 €</w:t>
            </w:r>
          </w:p>
        </w:tc>
      </w:tr>
      <w:tr>
        <w:tc>
          <w:tcPr>
            <w:tcW w:type="dxa" w:w="4536"/>
          </w:tcPr>
          <w:p>
            <w:r>
              <w:rPr>
                <w:rFonts w:ascii="Times New Roman" w:hAnsi="Times New Roman"/>
                <w:sz w:val="20"/>
              </w:rPr>
              <w:t>Finanzamt Hamburg-Mitte (Planquote 55 %)</w:t>
            </w:r>
          </w:p>
        </w:tc>
        <w:tc>
          <w:tcPr>
            <w:tcW w:type="dxa" w:w="4536"/>
          </w:tcPr>
          <w:p>
            <w:r>
              <w:rPr>
                <w:rFonts w:ascii="Times New Roman" w:hAnsi="Times New Roman"/>
                <w:sz w:val="20"/>
              </w:rPr>
              <w:t>216.000 €</w:t>
            </w:r>
          </w:p>
        </w:tc>
      </w:tr>
      <w:tr>
        <w:tc>
          <w:tcPr>
            <w:tcW w:type="dxa" w:w="4536"/>
          </w:tcPr>
          <w:p>
            <w:r>
              <w:rPr>
                <w:rFonts w:ascii="Times New Roman" w:hAnsi="Times New Roman"/>
                <w:sz w:val="20"/>
              </w:rPr>
              <w:t>Hansa Beteiligungs UG (Gesellschafterdarlehen, 0 %)</w:t>
            </w:r>
          </w:p>
        </w:tc>
        <w:tc>
          <w:tcPr>
            <w:tcW w:type="dxa" w:w="4536"/>
          </w:tcPr>
          <w:p>
            <w:r>
              <w:rPr>
                <w:rFonts w:ascii="Times New Roman" w:hAnsi="Times New Roman"/>
                <w:sz w:val="20"/>
              </w:rPr>
              <w:t>978.500 €</w:t>
            </w:r>
          </w:p>
        </w:tc>
      </w:tr>
      <w:tr>
        <w:tc>
          <w:tcPr>
            <w:tcW w:type="dxa" w:w="4536"/>
          </w:tcPr>
          <w:p>
            <w:r>
              <w:rPr>
                <w:rFonts w:ascii="Times New Roman" w:hAnsi="Times New Roman"/>
                <w:b/>
                <w:sz w:val="20"/>
              </w:rPr>
              <w:t>Gesamt Sanierungsgewinn (brutto)</w:t>
            </w:r>
          </w:p>
        </w:tc>
        <w:tc>
          <w:tcPr>
            <w:tcW w:type="dxa" w:w="4536"/>
          </w:tcPr>
          <w:p>
            <w:r>
              <w:rPr>
                <w:rFonts w:ascii="Times New Roman" w:hAnsi="Times New Roman"/>
                <w:b/>
                <w:sz w:val="20"/>
              </w:rPr>
              <w:t>ca. 4.009.000 €</w:t>
            </w:r>
          </w:p>
        </w:tc>
      </w:tr>
    </w:tbl>
    <w:p>
      <w:pPr>
        <w:pStyle w:val="Heading3"/>
      </w:pPr>
      <w:r>
        <w:rPr>
          <w:rFonts w:ascii="Times New Roman" w:hAnsi="Times New Roman"/>
        </w:rPr>
        <w:t>3.2 Steuerfreistellung nach § 3a EStG</w:t>
      </w:r>
    </w:p>
    <w:p>
      <w:pPr>
        <w:jc w:val="left"/>
      </w:pPr>
      <w:r>
        <w:t>§ 3a EStG stellt Sanierungsgewinne bei Unternehmen in Sanierungssituationen steuerfrei, wenn:</w:t>
      </w:r>
    </w:p>
    <w:p>
      <w:pPr>
        <w:pStyle w:val="ListNumber"/>
      </w:pPr>
      <w:r>
        <w:t>Das Unternehmen ist sanierungsbedürftig (nachgewiesen durch Überschuldung oder drohende Zahlungsunfähigkeit),</w:t>
      </w:r>
    </w:p>
    <w:p>
      <w:pPr>
        <w:pStyle w:val="ListNumber"/>
      </w:pPr>
      <w:r>
        <w:t>der Gläubigerverzicht erfolgt in Sanierungsabsicht,</w:t>
      </w:r>
    </w:p>
    <w:p>
      <w:pPr>
        <w:pStyle w:val="ListNumber"/>
      </w:pPr>
      <w:r>
        <w:t>das Unternehmen ist nach dem Plan sanierungsfähig (positive Fortführungsprognose).</w:t>
      </w:r>
    </w:p>
    <w:p>
      <w:pPr>
        <w:jc w:val="left"/>
      </w:pPr>
      <w:r>
        <w:rPr>
          <w:b/>
        </w:rPr>
        <w:t>Antrag:</w:t>
      </w:r>
      <w:r>
        <w:t xml:space="preserve"> StB Dresen hat den Antrag auf Steuerfreistellung nach § 3a EStG beim Finanzamt Hamburg-Mitte am 2. Juni 2026 gestellt. Das Finanzamt hat eine Bearbeitungszeit von 6–8 Wochen mitgeteilt.</w:t>
      </w:r>
    </w:p>
    <w:p>
      <w:pPr>
        <w:jc w:val="left"/>
      </w:pPr>
      <w:r>
        <w:rPr>
          <w:b/>
        </w:rPr>
        <w:t>Risiko:</w:t>
      </w:r>
      <w:r>
        <w:t xml:space="preserve"> Wenn die Steuerfreistellung nicht gewährt wird, entsteht eine Körperschaftsteuerlast von ca. 15 % × 4.009.000 Euro = ca. 601.000 Euro und eine Gewerbesteuerlast von ca. 14 % × 4.009.000 Euro = ca. 561.000 Euro – gesamt ca. 1.162.000 Euro. </w:t>
      </w:r>
      <w:r>
        <w:rPr>
          <w:b/>
        </w:rPr>
        <w:t>Diese Summe wäre im Planvollzug zu finanzieren und würde den Liquiditätspuffer aufzehren.</w:t>
      </w:r>
      <w:r>
        <w:t xml:space="preserve"> Daher ist die Steuerfreistellung zwingende Voraussetzung für die Finanzierbarkeit des Plans.</w:t>
      </w:r>
    </w:p>
    <w:p>
      <w:pPr>
        <w:jc w:val="left"/>
      </w:pPr>
      <w:r>
        <w:rPr>
          <w:b/>
        </w:rPr>
        <w:t>Ausweichoption:</w:t>
      </w:r>
      <w:r>
        <w:t xml:space="preserve"> Soweit Verlustvorträge (1,24 Mio. Euro KSt-VV) verrechnet werden können, reduziert sich die Steuerlast. Nach § 3a Abs. 3 EStG sind Verlustvorträge vorrangig mit dem Sanierungsgewinn zu verrechnen. Dies mindert zwar die steuerfreie Quote, schützt aber die Verlustvorträge für die Zukunft nicht vollständig.</w:t>
      </w:r>
    </w:p>
    <w:p/>
    <w:p>
      <w:pPr>
        <w:pStyle w:val="Heading2"/>
      </w:pPr>
      <w:r>
        <w:rPr>
          <w:rFonts w:ascii="Times New Roman" w:hAnsi="Times New Roman"/>
        </w:rPr>
        <w:t>4. Sozialversicherungsrisiken</w:t>
      </w:r>
    </w:p>
    <w:p>
      <w:pPr>
        <w:pStyle w:val="Heading3"/>
      </w:pPr>
      <w:r>
        <w:rPr>
          <w:rFonts w:ascii="Times New Roman" w:hAnsi="Times New Roman"/>
        </w:rPr>
        <w:t>4.1 Rückständige Arbeitgeberanteile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Krankenkasse / Träger</w:t>
            </w:r>
          </w:p>
        </w:tc>
        <w:tc>
          <w:tcPr>
            <w:tcW w:type="dxa" w:w="3024"/>
          </w:tcPr>
          <w:p>
            <w:r>
              <w:rPr>
                <w:rFonts w:ascii="Times New Roman" w:hAnsi="Times New Roman"/>
                <w:b/>
                <w:sz w:val="20"/>
              </w:rPr>
              <w:t>Rückstand</w:t>
            </w:r>
          </w:p>
        </w:tc>
        <w:tc>
          <w:tcPr>
            <w:tcW w:type="dxa" w:w="3024"/>
          </w:tcPr>
          <w:p>
            <w:r>
              <w:rPr>
                <w:rFonts w:ascii="Times New Roman" w:hAnsi="Times New Roman"/>
                <w:b/>
                <w:sz w:val="20"/>
              </w:rPr>
              <w:t>Zeitraum</w:t>
            </w:r>
          </w:p>
        </w:tc>
      </w:tr>
      <w:tr>
        <w:tc>
          <w:tcPr>
            <w:tcW w:type="dxa" w:w="3024"/>
          </w:tcPr>
          <w:p>
            <w:r>
              <w:rPr>
                <w:rFonts w:ascii="Times New Roman" w:hAnsi="Times New Roman"/>
                <w:sz w:val="20"/>
              </w:rPr>
              <w:t>BEK-Hanse (größte Kasse)</w:t>
            </w:r>
          </w:p>
        </w:tc>
        <w:tc>
          <w:tcPr>
            <w:tcW w:type="dxa" w:w="3024"/>
          </w:tcPr>
          <w:p>
            <w:r>
              <w:rPr>
                <w:rFonts w:ascii="Times New Roman" w:hAnsi="Times New Roman"/>
                <w:sz w:val="20"/>
              </w:rPr>
              <w:t>14.700 €</w:t>
            </w:r>
          </w:p>
        </w:tc>
        <w:tc>
          <w:tcPr>
            <w:tcW w:type="dxa" w:w="3024"/>
          </w:tcPr>
          <w:p>
            <w:r>
              <w:rPr>
                <w:rFonts w:ascii="Times New Roman" w:hAnsi="Times New Roman"/>
                <w:sz w:val="20"/>
              </w:rPr>
              <w:t>März und April 2026</w:t>
            </w:r>
          </w:p>
        </w:tc>
      </w:tr>
      <w:tr>
        <w:tc>
          <w:tcPr>
            <w:tcW w:type="dxa" w:w="3024"/>
          </w:tcPr>
          <w:p>
            <w:r>
              <w:rPr>
                <w:rFonts w:ascii="Times New Roman" w:hAnsi="Times New Roman"/>
                <w:sz w:val="20"/>
              </w:rPr>
              <w:t>DAK-Gesundheit</w:t>
            </w:r>
          </w:p>
        </w:tc>
        <w:tc>
          <w:tcPr>
            <w:tcW w:type="dxa" w:w="3024"/>
          </w:tcPr>
          <w:p>
            <w:r>
              <w:rPr>
                <w:rFonts w:ascii="Times New Roman" w:hAnsi="Times New Roman"/>
                <w:sz w:val="20"/>
              </w:rPr>
              <w:t>3.400 €</w:t>
            </w:r>
          </w:p>
        </w:tc>
        <w:tc>
          <w:tcPr>
            <w:tcW w:type="dxa" w:w="3024"/>
          </w:tcPr>
          <w:p>
            <w:r>
              <w:rPr>
                <w:rFonts w:ascii="Times New Roman" w:hAnsi="Times New Roman"/>
                <w:sz w:val="20"/>
              </w:rPr>
              <w:t>April 2026</w:t>
            </w:r>
          </w:p>
        </w:tc>
      </w:tr>
      <w:tr>
        <w:tc>
          <w:tcPr>
            <w:tcW w:type="dxa" w:w="3024"/>
          </w:tcPr>
          <w:p>
            <w:r>
              <w:rPr>
                <w:rFonts w:ascii="Times New Roman" w:hAnsi="Times New Roman"/>
                <w:sz w:val="20"/>
              </w:rPr>
              <w:t>TK</w:t>
            </w:r>
          </w:p>
        </w:tc>
        <w:tc>
          <w:tcPr>
            <w:tcW w:type="dxa" w:w="3024"/>
          </w:tcPr>
          <w:p>
            <w:r>
              <w:rPr>
                <w:rFonts w:ascii="Times New Roman" w:hAnsi="Times New Roman"/>
                <w:sz w:val="20"/>
              </w:rPr>
              <w:t>2.100 €</w:t>
            </w:r>
          </w:p>
        </w:tc>
        <w:tc>
          <w:tcPr>
            <w:tcW w:type="dxa" w:w="3024"/>
          </w:tcPr>
          <w:p>
            <w:r>
              <w:rPr>
                <w:rFonts w:ascii="Times New Roman" w:hAnsi="Times New Roman"/>
                <w:sz w:val="20"/>
              </w:rPr>
              <w:t>April 2026</w:t>
            </w:r>
          </w:p>
        </w:tc>
      </w:tr>
      <w:tr>
        <w:tc>
          <w:tcPr>
            <w:tcW w:type="dxa" w:w="3024"/>
          </w:tcPr>
          <w:p>
            <w:r>
              <w:rPr>
                <w:rFonts w:ascii="Times New Roman" w:hAnsi="Times New Roman"/>
                <w:sz w:val="20"/>
              </w:rPr>
              <w:t>Sonstige Kassen</w:t>
            </w:r>
          </w:p>
        </w:tc>
        <w:tc>
          <w:tcPr>
            <w:tcW w:type="dxa" w:w="3024"/>
          </w:tcPr>
          <w:p>
            <w:r>
              <w:rPr>
                <w:rFonts w:ascii="Times New Roman" w:hAnsi="Times New Roman"/>
                <w:sz w:val="20"/>
              </w:rPr>
              <w:t>1.800 €</w:t>
            </w:r>
          </w:p>
        </w:tc>
        <w:tc>
          <w:tcPr>
            <w:tcW w:type="dxa" w:w="3024"/>
          </w:tcPr>
          <w:p>
            <w:r>
              <w:rPr>
                <w:rFonts w:ascii="Times New Roman" w:hAnsi="Times New Roman"/>
                <w:sz w:val="20"/>
              </w:rPr>
              <w:t>April 2026</w:t>
            </w:r>
          </w:p>
        </w:tc>
      </w:tr>
      <w:tr>
        <w:tc>
          <w:tcPr>
            <w:tcW w:type="dxa" w:w="3024"/>
          </w:tcPr>
          <w:p>
            <w:r>
              <w:rPr>
                <w:rFonts w:ascii="Times New Roman" w:hAnsi="Times New Roman"/>
                <w:sz w:val="20"/>
              </w:rPr>
              <w:t>Deutsche Rentenversicherung (AG-Anteil)</w:t>
            </w:r>
          </w:p>
        </w:tc>
        <w:tc>
          <w:tcPr>
            <w:tcW w:type="dxa" w:w="3024"/>
          </w:tcPr>
          <w:p>
            <w:r>
              <w:rPr>
                <w:rFonts w:ascii="Times New Roman" w:hAnsi="Times New Roman"/>
                <w:sz w:val="20"/>
              </w:rPr>
              <w:t>48.000 €</w:t>
            </w:r>
          </w:p>
        </w:tc>
        <w:tc>
          <w:tcPr>
            <w:tcW w:type="dxa" w:w="3024"/>
          </w:tcPr>
          <w:p>
            <w:r>
              <w:rPr>
                <w:rFonts w:ascii="Times New Roman" w:hAnsi="Times New Roman"/>
                <w:sz w:val="20"/>
              </w:rPr>
              <w:t>März–April 2026</w:t>
            </w:r>
          </w:p>
        </w:tc>
      </w:tr>
      <w:tr>
        <w:tc>
          <w:tcPr>
            <w:tcW w:type="dxa" w:w="3024"/>
          </w:tcPr>
          <w:p>
            <w:r>
              <w:rPr>
                <w:rFonts w:ascii="Times New Roman" w:hAnsi="Times New Roman"/>
                <w:b/>
                <w:sz w:val="20"/>
              </w:rPr>
              <w:t>Gesamt</w:t>
            </w:r>
          </w:p>
        </w:tc>
        <w:tc>
          <w:tcPr>
            <w:tcW w:type="dxa" w:w="3024"/>
          </w:tcPr>
          <w:p>
            <w:r>
              <w:rPr>
                <w:rFonts w:ascii="Times New Roman" w:hAnsi="Times New Roman"/>
                <w:b/>
                <w:sz w:val="20"/>
              </w:rPr>
              <w:t>70.000 €</w:t>
            </w:r>
          </w:p>
        </w:tc>
        <w:tc>
          <w:tcPr>
            <w:tcW w:type="dxa" w:w="3024"/>
          </w:tcPr>
          <w:p/>
        </w:tc>
      </w:tr>
    </w:tbl>
    <w:p>
      <w:pPr>
        <w:jc w:val="left"/>
      </w:pPr>
      <w:r>
        <w:t>Die Rückstände entstanden durch Überziehung des Kontokorrentkontos im März/April 2026. Die DRV hat am 15. Mai 2026 eine Mahnung versandt und vier Wochen Frist gesetzt. Eine Beitragsstundung ist bei der DRV selten; in der Regel wird auf § 28e SGB IV (Arbeitgeberhaftung) und ggf. auf die persönliche Haftung der Geschäftsführer nach § 823 Abs. 2 BGB i.V.m. § 266a StGB verwiesen.</w:t>
      </w:r>
    </w:p>
    <w:p>
      <w:pPr>
        <w:jc w:val="left"/>
      </w:pPr>
      <w:r>
        <w:rPr>
          <w:b/>
        </w:rPr>
        <w:t>Dringendstes Risiko:</w:t>
      </w:r>
      <w:r>
        <w:t xml:space="preserve"> Sollte die DRV vollstrecken (Pfändung Konten, Einleitung Strafanzeige nach § 266a StGB wegen Nichtabführung von Arbeitnehmeranteilen), würde dies die Insolvenzantragspflicht unmittelbar auslösen und das StaRUG-Verfahren gefährden.</w:t>
      </w:r>
    </w:p>
    <w:p>
      <w:pPr>
        <w:jc w:val="left"/>
      </w:pPr>
      <w:r>
        <w:rPr>
          <w:b/>
        </w:rPr>
        <w:t>Maßnahme:</w:t>
      </w:r>
      <w:r>
        <w:t xml:space="preserve"> Sofortzahlung der DRV-Rückstände (48.000 Euro) aus dem Sparkasse-Holstein-Konto bis 3. Juni 2026 (bereits veranlasst). Krankenrückstände werden aus der Investor-Tranche 1 beglichen.</w:t>
      </w:r>
    </w:p>
    <w:p>
      <w:pPr>
        <w:pStyle w:val="Heading3"/>
      </w:pPr>
      <w:r>
        <w:rPr>
          <w:rFonts w:ascii="Times New Roman" w:hAnsi="Times New Roman"/>
        </w:rPr>
        <w:t>4.2 Insolvenzgeld</w:t>
      </w:r>
    </w:p>
    <w:p>
      <w:pPr>
        <w:jc w:val="left"/>
      </w:pPr>
      <w:r>
        <w:t>Im Falle eines Insolvenzantrags (Option C) übernimmt die Bundesagentur für Arbeit die Löhne und Gehälter für die drei Monate vor der Insolvenzeröffnung (§ 183 SGB III). Das sichert:</w:t>
      </w:r>
    </w:p>
    <w:p>
      <w:pPr>
        <w:pStyle w:val="ListBullet"/>
      </w:pPr>
      <w:r>
        <w:t>Lohnzahlungen Juni, Juli, August 2026 (ca. 450.000 Euro/Monat × 3 = 1.350.000 Euro).</w:t>
      </w:r>
    </w:p>
    <w:p>
      <w:pPr>
        <w:pStyle w:val="ListBullet"/>
      </w:pPr>
      <w:r>
        <w:t>Gleichzeitig entlastet es die Insolvenzmasse erheblich und verbessert die Vergleichsrechnung.</w:t>
      </w:r>
    </w:p>
    <w:p>
      <w:pPr>
        <w:pStyle w:val="ListBullet"/>
      </w:pPr>
      <w:r>
        <w:rPr>
          <w:b/>
        </w:rPr>
        <w:t>Wichtig:</w:t>
      </w:r>
      <w:r>
        <w:t xml:space="preserve"> Insolvenzgeld setzt voraus, dass die Schuldnerin ihren Sitz in Hamburg hat und die Arbeitnehmer sozialversicherungspflichtig beschäftigt sind. Beides ist der Fall.</w:t>
      </w:r>
    </w:p>
    <w:p>
      <w:pPr>
        <w:pStyle w:val="Heading3"/>
      </w:pPr>
      <w:r>
        <w:rPr>
          <w:rFonts w:ascii="Times New Roman" w:hAnsi="Times New Roman"/>
        </w:rPr>
        <w:t>4.3 Geschäftsführerhaftung SV-Beiträge</w:t>
      </w:r>
    </w:p>
    <w:p>
      <w:pPr>
        <w:jc w:val="left"/>
      </w:pPr>
      <w:r>
        <w:t>Nach § 266a StGB und ständiger BGH-Rechtsprechung haften Geschäftsführer persönlich für Arbeitnehmeranteile zur Sozialversicherung, die trotz Kenntnis der Zahlungsunfähigkeit nicht abgeführt werden. Anna Reimers und Lukas Petersen wurden darüber informiert. Die bisherigen Arbeitnehmeranteile wurden stets und vollständig abgeführt. Arbeitgeberanteile fallen nicht unter § 266a StGB.</w:t>
      </w:r>
    </w:p>
    <w:p/>
    <w:p>
      <w:pPr>
        <w:pStyle w:val="Heading2"/>
      </w:pPr>
      <w:r>
        <w:rPr>
          <w:rFonts w:ascii="Times New Roman" w:hAnsi="Times New Roman"/>
        </w:rPr>
        <w:t>5. Umsatzsteuer im Insolvenzverfahren</w:t>
      </w:r>
    </w:p>
    <w:p>
      <w:pPr>
        <w:pStyle w:val="Heading3"/>
      </w:pPr>
      <w:r>
        <w:rPr>
          <w:rFonts w:ascii="Times New Roman" w:hAnsi="Times New Roman"/>
        </w:rPr>
        <w:t>5.1 Umsatzsteuerrechtliche Besonderheiten</w:t>
      </w:r>
    </w:p>
    <w:p>
      <w:pPr>
        <w:jc w:val="left"/>
      </w:pPr>
      <w:r>
        <w:t>Mit Insolvenzeröffnung tritt die Schuldnerin in einen umsatzsteuerrechtlichen Sonderstatus: Vorsteuerberichtigungen nach § 17 UStG können entstehen (wenn Forderungen ausfallen), umgekehrt müssen die Gläubiger berichtigte Steuerbeträge an das Finanzamt melden. Im Planverfahren ist zu klären:</w:t>
      </w:r>
    </w:p>
    <w:p>
      <w:pPr>
        <w:pStyle w:val="ListBullet"/>
      </w:pPr>
      <w:r>
        <w:rPr>
          <w:b/>
        </w:rPr>
        <w:t>Lieferantenrückstände:</w:t>
      </w:r>
      <w:r>
        <w:t xml:space="preserve"> Wenn Lieferanten eine Berichtigung nach § 17 Abs. 2 Nr. 1 UStG vornehmen (Forderungsausfall aus Insolvenzmasse), schuldet die Schuldnerin die entsprechende Vorsteuer-Rückzahlung an das Finanzamt. Geschätztes Risiko: ca. 85.000–120.000 Euro.</w:t>
      </w:r>
    </w:p>
    <w:p>
      <w:pPr>
        <w:pStyle w:val="ListBullet"/>
      </w:pPr>
      <w:r>
        <w:rPr>
          <w:b/>
        </w:rPr>
        <w:t>Eigene Forderungsausfälle:</w:t>
      </w:r>
      <w:r>
        <w:t xml:space="preserve"> Soweit Debitoren der Schuldnerin ausfallen, kann diese eine Vorsteuerkorrektur geltend machen.</w:t>
      </w:r>
    </w:p>
    <w:p>
      <w:pPr>
        <w:pStyle w:val="Heading3"/>
      </w:pPr>
      <w:r>
        <w:rPr>
          <w:rFonts w:ascii="Times New Roman" w:hAnsi="Times New Roman"/>
        </w:rPr>
        <w:t>5.2 Umsatzsteuer aus Planquoten</w:t>
      </w:r>
    </w:p>
    <w:p>
      <w:pPr>
        <w:jc w:val="left"/>
      </w:pPr>
      <w:r>
        <w:t xml:space="preserve">Planquoten sind kein Leistungsentgelt i.S.d. UStG; die Zahlung einer Planquote löst keine Umsatzsteuerpflicht aus. Wohl aber können </w:t>
      </w:r>
      <w:r>
        <w:rPr>
          <w:b/>
        </w:rPr>
        <w:t>Dienstleistungen der Treuhänder</w:t>
      </w:r>
      <w:r>
        <w:t xml:space="preserve"> und des Sachwalters umsatzsteuerpflichtig sein und sind als Masseverbindlichkeiten zu berücksichtigen.</w:t>
      </w:r>
    </w:p>
    <w:p/>
    <w:p>
      <w:pPr>
        <w:pStyle w:val="Heading2"/>
      </w:pPr>
      <w:r>
        <w:rPr>
          <w:rFonts w:ascii="Times New Roman" w:hAnsi="Times New Roman"/>
        </w:rPr>
        <w:t>6. Handlungsempfehlungen und offene Punkte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Maßnahme</w:t>
            </w:r>
          </w:p>
        </w:tc>
        <w:tc>
          <w:tcPr>
            <w:tcW w:type="dxa" w:w="2268"/>
          </w:tcPr>
          <w:p>
            <w:r>
              <w:rPr>
                <w:rFonts w:ascii="Times New Roman" w:hAnsi="Times New Roman"/>
                <w:b/>
                <w:sz w:val="20"/>
              </w:rPr>
              <w:t>Frist</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Risiko bei Untätigkeit</w:t>
            </w:r>
          </w:p>
        </w:tc>
      </w:tr>
      <w:tr>
        <w:tc>
          <w:tcPr>
            <w:tcW w:type="dxa" w:w="2268"/>
          </w:tcPr>
          <w:p>
            <w:r>
              <w:rPr>
                <w:rFonts w:ascii="Times New Roman" w:hAnsi="Times New Roman"/>
                <w:sz w:val="20"/>
              </w:rPr>
              <w:t>Antrag § 3a EStG – Bescheid abwarten</w:t>
            </w:r>
          </w:p>
        </w:tc>
        <w:tc>
          <w:tcPr>
            <w:tcW w:type="dxa" w:w="2268"/>
          </w:tcPr>
          <w:p>
            <w:r>
              <w:rPr>
                <w:rFonts w:ascii="Times New Roman" w:hAnsi="Times New Roman"/>
                <w:sz w:val="20"/>
              </w:rPr>
              <w:t>bis 31.07.2026</w:t>
            </w:r>
          </w:p>
        </w:tc>
        <w:tc>
          <w:tcPr>
            <w:tcW w:type="dxa" w:w="2268"/>
          </w:tcPr>
          <w:p>
            <w:r>
              <w:rPr>
                <w:rFonts w:ascii="Times New Roman" w:hAnsi="Times New Roman"/>
                <w:sz w:val="20"/>
              </w:rPr>
              <w:t>StB Dresen</w:t>
            </w:r>
          </w:p>
        </w:tc>
        <w:tc>
          <w:tcPr>
            <w:tcW w:type="dxa" w:w="2268"/>
          </w:tcPr>
          <w:p>
            <w:r>
              <w:rPr>
                <w:rFonts w:ascii="Times New Roman" w:hAnsi="Times New Roman"/>
                <w:sz w:val="20"/>
              </w:rPr>
              <w:t>Steuerrisiko ca. 1,16 Mio. €</w:t>
            </w:r>
          </w:p>
        </w:tc>
      </w:tr>
      <w:tr>
        <w:tc>
          <w:tcPr>
            <w:tcW w:type="dxa" w:w="2268"/>
          </w:tcPr>
          <w:p>
            <w:r>
              <w:rPr>
                <w:rFonts w:ascii="Times New Roman" w:hAnsi="Times New Roman"/>
                <w:sz w:val="20"/>
              </w:rPr>
              <w:t>Antrag § 8c Abs. 1a KStG (Sanierungsklausel)</w:t>
            </w:r>
          </w:p>
        </w:tc>
        <w:tc>
          <w:tcPr>
            <w:tcW w:type="dxa" w:w="2268"/>
          </w:tcPr>
          <w:p>
            <w:r>
              <w:rPr>
                <w:rFonts w:ascii="Times New Roman" w:hAnsi="Times New Roman"/>
                <w:sz w:val="20"/>
              </w:rPr>
              <w:t>bis 30.06.2026</w:t>
            </w:r>
          </w:p>
        </w:tc>
        <w:tc>
          <w:tcPr>
            <w:tcW w:type="dxa" w:w="2268"/>
          </w:tcPr>
          <w:p>
            <w:r>
              <w:rPr>
                <w:rFonts w:ascii="Times New Roman" w:hAnsi="Times New Roman"/>
                <w:sz w:val="20"/>
              </w:rPr>
              <w:t>StB Dresen</w:t>
            </w:r>
          </w:p>
        </w:tc>
        <w:tc>
          <w:tcPr>
            <w:tcW w:type="dxa" w:w="2268"/>
          </w:tcPr>
          <w:p>
            <w:r>
              <w:rPr>
                <w:rFonts w:ascii="Times New Roman" w:hAnsi="Times New Roman"/>
                <w:sz w:val="20"/>
              </w:rPr>
              <w:t>Wegfall Verlustvortrag ca. 1,24 Mio. €</w:t>
            </w:r>
          </w:p>
        </w:tc>
      </w:tr>
      <w:tr>
        <w:tc>
          <w:tcPr>
            <w:tcW w:type="dxa" w:w="2268"/>
          </w:tcPr>
          <w:p>
            <w:r>
              <w:rPr>
                <w:rFonts w:ascii="Times New Roman" w:hAnsi="Times New Roman"/>
                <w:sz w:val="20"/>
              </w:rPr>
              <w:t>Stundungsantrag USt FA Hamburg prüfen</w:t>
            </w:r>
          </w:p>
        </w:tc>
        <w:tc>
          <w:tcPr>
            <w:tcW w:type="dxa" w:w="2268"/>
          </w:tcPr>
          <w:p>
            <w:r>
              <w:rPr>
                <w:rFonts w:ascii="Times New Roman" w:hAnsi="Times New Roman"/>
                <w:sz w:val="20"/>
              </w:rPr>
              <w:t>bis 16.06.2026</w:t>
            </w:r>
          </w:p>
        </w:tc>
        <w:tc>
          <w:tcPr>
            <w:tcW w:type="dxa" w:w="2268"/>
          </w:tcPr>
          <w:p>
            <w:r>
              <w:rPr>
                <w:rFonts w:ascii="Times New Roman" w:hAnsi="Times New Roman"/>
                <w:sz w:val="20"/>
              </w:rPr>
              <w:t>RA Westphal / StB Dresen</w:t>
            </w:r>
          </w:p>
        </w:tc>
        <w:tc>
          <w:tcPr>
            <w:tcW w:type="dxa" w:w="2268"/>
          </w:tcPr>
          <w:p>
            <w:r>
              <w:rPr>
                <w:rFonts w:ascii="Times New Roman" w:hAnsi="Times New Roman"/>
                <w:sz w:val="20"/>
              </w:rPr>
              <w:t>Vollstreckung, Zahlungsunfähigkeit</w:t>
            </w:r>
          </w:p>
        </w:tc>
      </w:tr>
      <w:tr>
        <w:tc>
          <w:tcPr>
            <w:tcW w:type="dxa" w:w="2268"/>
          </w:tcPr>
          <w:p>
            <w:r>
              <w:rPr>
                <w:rFonts w:ascii="Times New Roman" w:hAnsi="Times New Roman"/>
                <w:sz w:val="20"/>
              </w:rPr>
              <w:t>DRV-Zahlung (48 TEUR) sichern</w:t>
            </w:r>
          </w:p>
        </w:tc>
        <w:tc>
          <w:tcPr>
            <w:tcW w:type="dxa" w:w="2268"/>
          </w:tcPr>
          <w:p>
            <w:r>
              <w:rPr>
                <w:rFonts w:ascii="Times New Roman" w:hAnsi="Times New Roman"/>
                <w:sz w:val="20"/>
              </w:rPr>
              <w:t>erledigt 30.05.2026</w:t>
            </w:r>
          </w:p>
        </w:tc>
        <w:tc>
          <w:tcPr>
            <w:tcW w:type="dxa" w:w="2268"/>
          </w:tcPr>
          <w:p>
            <w:r>
              <w:rPr>
                <w:rFonts w:ascii="Times New Roman" w:hAnsi="Times New Roman"/>
                <w:sz w:val="20"/>
              </w:rPr>
              <w:t>CFO Hollender</w:t>
            </w:r>
          </w:p>
        </w:tc>
        <w:tc>
          <w:tcPr>
            <w:tcW w:type="dxa" w:w="2268"/>
          </w:tcPr>
          <w:p>
            <w:r>
              <w:rPr>
                <w:rFonts w:ascii="Times New Roman" w:hAnsi="Times New Roman"/>
                <w:sz w:val="20"/>
              </w:rPr>
              <w:t>Strafanzeige § 266a StGB</w:t>
            </w:r>
          </w:p>
        </w:tc>
      </w:tr>
      <w:tr>
        <w:tc>
          <w:tcPr>
            <w:tcW w:type="dxa" w:w="2268"/>
          </w:tcPr>
          <w:p>
            <w:r>
              <w:rPr>
                <w:rFonts w:ascii="Times New Roman" w:hAnsi="Times New Roman"/>
                <w:sz w:val="20"/>
              </w:rPr>
              <w:t>Insolvenzgeld-Vorschuss (§ 188 SGB III) vorbereiten</w:t>
            </w:r>
          </w:p>
        </w:tc>
        <w:tc>
          <w:tcPr>
            <w:tcW w:type="dxa" w:w="2268"/>
          </w:tcPr>
          <w:p>
            <w:r>
              <w:rPr>
                <w:rFonts w:ascii="Times New Roman" w:hAnsi="Times New Roman"/>
                <w:sz w:val="20"/>
              </w:rPr>
              <w:t>bei Antragstellung</w:t>
            </w:r>
          </w:p>
        </w:tc>
        <w:tc>
          <w:tcPr>
            <w:tcW w:type="dxa" w:w="2268"/>
          </w:tcPr>
          <w:p>
            <w:r>
              <w:rPr>
                <w:rFonts w:ascii="Times New Roman" w:hAnsi="Times New Roman"/>
                <w:sz w:val="20"/>
              </w:rPr>
              <w:t>RA Westphal</w:t>
            </w:r>
          </w:p>
        </w:tc>
        <w:tc>
          <w:tcPr>
            <w:tcW w:type="dxa" w:w="2268"/>
          </w:tcPr>
          <w:p>
            <w:r>
              <w:rPr>
                <w:rFonts w:ascii="Times New Roman" w:hAnsi="Times New Roman"/>
                <w:sz w:val="20"/>
              </w:rPr>
              <w:t>keine</w:t>
            </w:r>
          </w:p>
        </w:tc>
      </w:tr>
      <w:tr>
        <w:tc>
          <w:tcPr>
            <w:tcW w:type="dxa" w:w="2268"/>
          </w:tcPr>
          <w:p>
            <w:r>
              <w:rPr>
                <w:rFonts w:ascii="Times New Roman" w:hAnsi="Times New Roman"/>
                <w:sz w:val="20"/>
              </w:rPr>
              <w:t>Umsatzsteuer-Vorsteuerkorrektur quantifizieren</w:t>
            </w:r>
          </w:p>
        </w:tc>
        <w:tc>
          <w:tcPr>
            <w:tcW w:type="dxa" w:w="2268"/>
          </w:tcPr>
          <w:p>
            <w:r>
              <w:rPr>
                <w:rFonts w:ascii="Times New Roman" w:hAnsi="Times New Roman"/>
                <w:sz w:val="20"/>
              </w:rPr>
              <w:t>bis 20.06.2026</w:t>
            </w:r>
          </w:p>
        </w:tc>
        <w:tc>
          <w:tcPr>
            <w:tcW w:type="dxa" w:w="2268"/>
          </w:tcPr>
          <w:p>
            <w:r>
              <w:rPr>
                <w:rFonts w:ascii="Times New Roman" w:hAnsi="Times New Roman"/>
                <w:sz w:val="20"/>
              </w:rPr>
              <w:t>StB Dresen</w:t>
            </w:r>
          </w:p>
        </w:tc>
        <w:tc>
          <w:tcPr>
            <w:tcW w:type="dxa" w:w="2268"/>
          </w:tcPr>
          <w:p>
            <w:r>
              <w:rPr>
                <w:rFonts w:ascii="Times New Roman" w:hAnsi="Times New Roman"/>
                <w:sz w:val="20"/>
              </w:rPr>
              <w:t>Überraschungsrisiko im Planvollzug</w:t>
            </w:r>
          </w:p>
        </w:tc>
      </w:tr>
    </w:tbl>
    <w:p/>
    <w:p>
      <w:pPr>
        <w:jc w:val="left"/>
      </w:pPr>
      <w:r>
        <w:rPr>
          <w:i/>
        </w:rPr>
        <w:t>Dieses Memorandum gibt den Stand der steuerlichen Einschätzung am 9. Juni 2026 wieder. Es ersetzt keine abschließende Steuerberatung und ist mit dem finalen Plantext abzugleichen.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