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Sicherheitenbewertung – Metallbau Hansa GmbH</w:t>
      </w:r>
    </w:p>
    <w:p>
      <w:pPr>
        <w:jc w:val="left"/>
      </w:pPr>
      <w:r>
        <w:rPr>
          <w:b/>
        </w:rPr>
        <w:t>Aktenzeichen:</w:t>
      </w:r>
      <w:r>
        <w:t xml:space="preserve"> MH-2026-001</w:t>
      </w:r>
    </w:p>
    <w:p>
      <w:pPr>
        <w:jc w:val="left"/>
      </w:pPr>
      <w:r>
        <w:rPr>
          <w:b/>
        </w:rPr>
        <w:t>Stand:</w:t>
      </w:r>
      <w:r>
        <w:t xml:space="preserve"> 6. Juni 2026</w:t>
      </w:r>
    </w:p>
    <w:p>
      <w:pPr>
        <w:jc w:val="left"/>
      </w:pPr>
      <w:r>
        <w:rPr>
          <w:b/>
        </w:rPr>
        <w:t>Gutachter:</w:t>
      </w:r>
      <w:r>
        <w:t xml:space="preserve"> Sachverständigenbüro Brandt &amp; Kollegen GmbH, Billwerder Neuer Deich 34, 20539 Hamburg (öff. bestellter und vereidigter Sachverständiger: Dipl.-Ing. Gerhard Brandt)</w:t>
      </w:r>
    </w:p>
    <w:p>
      <w:pPr>
        <w:jc w:val="left"/>
      </w:pPr>
      <w:r>
        <w:rPr>
          <w:b/>
        </w:rPr>
        <w:t>Auftraggeber:</w:t>
      </w:r>
      <w:r>
        <w:t xml:space="preserve"> RA Dr. Karolin Westphal (für Metallbau Hansa GmbH)</w:t>
      </w:r>
    </w:p>
    <w:p>
      <w:pPr>
        <w:jc w:val="left"/>
      </w:pPr>
      <w:r>
        <w:rPr>
          <w:b/>
        </w:rPr>
        <w:t>Zweck:</w:t>
      </w:r>
      <w:r>
        <w:t xml:space="preserve"> Bewertung für Vergleichsrechnung Insolvenzplan, Sicherheitenverhandlung NordBank AG</w:t>
      </w:r>
    </w:p>
    <w:p/>
    <w:p>
      <w:pPr>
        <w:pStyle w:val="Heading2"/>
      </w:pPr>
      <w:r>
        <w:rPr>
          <w:rFonts w:ascii="Times New Roman" w:hAnsi="Times New Roman"/>
        </w:rPr>
        <w:t>1. Bewertet: Maschinenpark und Fertigungsausstattung</w:t>
      </w:r>
    </w:p>
    <w:p>
      <w:pPr>
        <w:pStyle w:val="Heading3"/>
      </w:pPr>
      <w:r>
        <w:rPr>
          <w:rFonts w:ascii="Times New Roman" w:hAnsi="Times New Roman"/>
        </w:rPr>
        <w:t>1.1 CNC-Bearbeitungszentrum Okuma MA-8000H</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Angabe</w:t>
            </w:r>
          </w:p>
        </w:tc>
      </w:tr>
      <w:tr>
        <w:tc>
          <w:tcPr>
            <w:tcW w:type="dxa" w:w="4536"/>
          </w:tcPr>
          <w:p>
            <w:r>
              <w:rPr>
                <w:rFonts w:ascii="Times New Roman" w:hAnsi="Times New Roman"/>
                <w:sz w:val="20"/>
              </w:rPr>
              <w:t>Baujahr</w:t>
            </w:r>
          </w:p>
        </w:tc>
        <w:tc>
          <w:tcPr>
            <w:tcW w:type="dxa" w:w="4536"/>
          </w:tcPr>
          <w:p>
            <w:r>
              <w:rPr>
                <w:rFonts w:ascii="Times New Roman" w:hAnsi="Times New Roman"/>
                <w:sz w:val="20"/>
              </w:rPr>
              <w:t>2019</w:t>
            </w:r>
          </w:p>
        </w:tc>
      </w:tr>
      <w:tr>
        <w:tc>
          <w:tcPr>
            <w:tcW w:type="dxa" w:w="4536"/>
          </w:tcPr>
          <w:p>
            <w:r>
              <w:rPr>
                <w:rFonts w:ascii="Times New Roman" w:hAnsi="Times New Roman"/>
                <w:sz w:val="20"/>
              </w:rPr>
              <w:t>Anschaffungswert</w:t>
            </w:r>
          </w:p>
        </w:tc>
        <w:tc>
          <w:tcPr>
            <w:tcW w:type="dxa" w:w="4536"/>
          </w:tcPr>
          <w:p>
            <w:r>
              <w:rPr>
                <w:rFonts w:ascii="Times New Roman" w:hAnsi="Times New Roman"/>
                <w:sz w:val="20"/>
              </w:rPr>
              <w:t>480.000 €</w:t>
            </w:r>
          </w:p>
        </w:tc>
      </w:tr>
      <w:tr>
        <w:tc>
          <w:tcPr>
            <w:tcW w:type="dxa" w:w="4536"/>
          </w:tcPr>
          <w:p>
            <w:r>
              <w:rPr>
                <w:rFonts w:ascii="Times New Roman" w:hAnsi="Times New Roman"/>
                <w:sz w:val="20"/>
              </w:rPr>
              <w:t>Buchwert 30.04.2026</w:t>
            </w:r>
          </w:p>
        </w:tc>
        <w:tc>
          <w:tcPr>
            <w:tcW w:type="dxa" w:w="4536"/>
          </w:tcPr>
          <w:p>
            <w:r>
              <w:rPr>
                <w:rFonts w:ascii="Times New Roman" w:hAnsi="Times New Roman"/>
                <w:sz w:val="20"/>
              </w:rPr>
              <w:t>192.000 € (lineaire AfA, 8 Jahre)</w:t>
            </w:r>
          </w:p>
        </w:tc>
      </w:tr>
      <w:tr>
        <w:tc>
          <w:tcPr>
            <w:tcW w:type="dxa" w:w="4536"/>
          </w:tcPr>
          <w:p>
            <w:r>
              <w:rPr>
                <w:rFonts w:ascii="Times New Roman" w:hAnsi="Times New Roman"/>
                <w:sz w:val="20"/>
              </w:rPr>
              <w:t>Wartungsstand</w:t>
            </w:r>
          </w:p>
        </w:tc>
        <w:tc>
          <w:tcPr>
            <w:tcW w:type="dxa" w:w="4536"/>
          </w:tcPr>
          <w:p>
            <w:r>
              <w:rPr>
                <w:rFonts w:ascii="Times New Roman" w:hAnsi="Times New Roman"/>
                <w:sz w:val="20"/>
              </w:rPr>
              <w:t>letzte Hauptwartung Oktober 2025, Protokoll liegt vor</w:t>
            </w:r>
          </w:p>
        </w:tc>
      </w:tr>
      <w:tr>
        <w:tc>
          <w:tcPr>
            <w:tcW w:type="dxa" w:w="4536"/>
          </w:tcPr>
          <w:p>
            <w:r>
              <w:rPr>
                <w:rFonts w:ascii="Times New Roman" w:hAnsi="Times New Roman"/>
                <w:sz w:val="20"/>
              </w:rPr>
              <w:t>Auslastung</w:t>
            </w:r>
          </w:p>
        </w:tc>
        <w:tc>
          <w:tcPr>
            <w:tcW w:type="dxa" w:w="4536"/>
          </w:tcPr>
          <w:p>
            <w:r>
              <w:rPr>
                <w:rFonts w:ascii="Times New Roman" w:hAnsi="Times New Roman"/>
                <w:sz w:val="20"/>
              </w:rPr>
              <w:t>78 % (2025), 65 % (2026 bis April)</w:t>
            </w:r>
          </w:p>
        </w:tc>
      </w:tr>
      <w:tr>
        <w:tc>
          <w:tcPr>
            <w:tcW w:type="dxa" w:w="4536"/>
          </w:tcPr>
          <w:p>
            <w:r>
              <w:rPr>
                <w:rFonts w:ascii="Times New Roman" w:hAnsi="Times New Roman"/>
                <w:sz w:val="20"/>
              </w:rPr>
              <w:t>Gutachter-Fortführungswert</w:t>
            </w:r>
          </w:p>
        </w:tc>
        <w:tc>
          <w:tcPr>
            <w:tcW w:type="dxa" w:w="4536"/>
          </w:tcPr>
          <w:p>
            <w:r>
              <w:rPr>
                <w:rFonts w:ascii="Times New Roman" w:hAnsi="Times New Roman"/>
                <w:sz w:val="20"/>
              </w:rPr>
              <w:t>240.000 €</w:t>
            </w:r>
          </w:p>
        </w:tc>
      </w:tr>
      <w:tr>
        <w:tc>
          <w:tcPr>
            <w:tcW w:type="dxa" w:w="4536"/>
          </w:tcPr>
          <w:p>
            <w:r>
              <w:rPr>
                <w:rFonts w:ascii="Times New Roman" w:hAnsi="Times New Roman"/>
                <w:sz w:val="20"/>
              </w:rPr>
              <w:t>Gutachter-Zerschlagungswert</w:t>
            </w:r>
          </w:p>
        </w:tc>
        <w:tc>
          <w:tcPr>
            <w:tcW w:type="dxa" w:w="4536"/>
          </w:tcPr>
          <w:p>
            <w:r>
              <w:rPr>
                <w:rFonts w:ascii="Times New Roman" w:hAnsi="Times New Roman"/>
                <w:sz w:val="20"/>
              </w:rPr>
              <w:t>120.000 €</w:t>
            </w:r>
          </w:p>
        </w:tc>
      </w:tr>
    </w:tbl>
    <w:p>
      <w:pPr>
        <w:jc w:val="left"/>
      </w:pPr>
      <w:r>
        <w:t>Begründung: Okuma-Gebrauchtmarkt ist gut liquide. Baujahr 2019 bei Fanuc-Steuerung ist am Markt nachgefragt. Fortführungswert liegt über Buchwert aufgrund guter Wartungshistorie.</w:t>
      </w:r>
    </w:p>
    <w:p>
      <w:pPr>
        <w:pStyle w:val="Heading3"/>
      </w:pPr>
      <w:r>
        <w:rPr>
          <w:rFonts w:ascii="Times New Roman" w:hAnsi="Times New Roman"/>
        </w:rPr>
        <w:t>1.2 CNC-Bearbeitungszentrum Heidenhain iTNC</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Angabe</w:t>
            </w:r>
          </w:p>
        </w:tc>
      </w:tr>
      <w:tr>
        <w:tc>
          <w:tcPr>
            <w:tcW w:type="dxa" w:w="4536"/>
          </w:tcPr>
          <w:p>
            <w:r>
              <w:rPr>
                <w:rFonts w:ascii="Times New Roman" w:hAnsi="Times New Roman"/>
                <w:sz w:val="20"/>
              </w:rPr>
              <w:t>Baujahr</w:t>
            </w:r>
          </w:p>
        </w:tc>
        <w:tc>
          <w:tcPr>
            <w:tcW w:type="dxa" w:w="4536"/>
          </w:tcPr>
          <w:p>
            <w:r>
              <w:rPr>
                <w:rFonts w:ascii="Times New Roman" w:hAnsi="Times New Roman"/>
                <w:sz w:val="20"/>
              </w:rPr>
              <w:t>2017</w:t>
            </w:r>
          </w:p>
        </w:tc>
      </w:tr>
      <w:tr>
        <w:tc>
          <w:tcPr>
            <w:tcW w:type="dxa" w:w="4536"/>
          </w:tcPr>
          <w:p>
            <w:r>
              <w:rPr>
                <w:rFonts w:ascii="Times New Roman" w:hAnsi="Times New Roman"/>
                <w:sz w:val="20"/>
              </w:rPr>
              <w:t>Anschaffungswert</w:t>
            </w:r>
          </w:p>
        </w:tc>
        <w:tc>
          <w:tcPr>
            <w:tcW w:type="dxa" w:w="4536"/>
          </w:tcPr>
          <w:p>
            <w:r>
              <w:rPr>
                <w:rFonts w:ascii="Times New Roman" w:hAnsi="Times New Roman"/>
                <w:sz w:val="20"/>
              </w:rPr>
              <w:t>410.000 €</w:t>
            </w:r>
          </w:p>
        </w:tc>
      </w:tr>
      <w:tr>
        <w:tc>
          <w:tcPr>
            <w:tcW w:type="dxa" w:w="4536"/>
          </w:tcPr>
          <w:p>
            <w:r>
              <w:rPr>
                <w:rFonts w:ascii="Times New Roman" w:hAnsi="Times New Roman"/>
                <w:sz w:val="20"/>
              </w:rPr>
              <w:t>Buchwert 30.04.2026</w:t>
            </w:r>
          </w:p>
        </w:tc>
        <w:tc>
          <w:tcPr>
            <w:tcW w:type="dxa" w:w="4536"/>
          </w:tcPr>
          <w:p>
            <w:r>
              <w:rPr>
                <w:rFonts w:ascii="Times New Roman" w:hAnsi="Times New Roman"/>
                <w:sz w:val="20"/>
              </w:rPr>
              <w:t>123.000 € (lineaire AfA, 8 Jahre)</w:t>
            </w:r>
          </w:p>
        </w:tc>
      </w:tr>
      <w:tr>
        <w:tc>
          <w:tcPr>
            <w:tcW w:type="dxa" w:w="4536"/>
          </w:tcPr>
          <w:p>
            <w:r>
              <w:rPr>
                <w:rFonts w:ascii="Times New Roman" w:hAnsi="Times New Roman"/>
                <w:sz w:val="20"/>
              </w:rPr>
              <w:t>Wartungsstand</w:t>
            </w:r>
          </w:p>
        </w:tc>
        <w:tc>
          <w:tcPr>
            <w:tcW w:type="dxa" w:w="4536"/>
          </w:tcPr>
          <w:p>
            <w:r>
              <w:rPr>
                <w:rFonts w:ascii="Times New Roman" w:hAnsi="Times New Roman"/>
                <w:sz w:val="20"/>
              </w:rPr>
              <w:t>Verschleiß an Spindel bekannt; Kosten für Überholung ca. 18.000 €</w:t>
            </w:r>
          </w:p>
        </w:tc>
      </w:tr>
      <w:tr>
        <w:tc>
          <w:tcPr>
            <w:tcW w:type="dxa" w:w="4536"/>
          </w:tcPr>
          <w:p>
            <w:r>
              <w:rPr>
                <w:rFonts w:ascii="Times New Roman" w:hAnsi="Times New Roman"/>
                <w:sz w:val="20"/>
              </w:rPr>
              <w:t>Gutachter-Fortführungswert</w:t>
            </w:r>
          </w:p>
        </w:tc>
        <w:tc>
          <w:tcPr>
            <w:tcW w:type="dxa" w:w="4536"/>
          </w:tcPr>
          <w:p>
            <w:r>
              <w:rPr>
                <w:rFonts w:ascii="Times New Roman" w:hAnsi="Times New Roman"/>
                <w:sz w:val="20"/>
              </w:rPr>
              <w:t>155.000 €</w:t>
            </w:r>
          </w:p>
        </w:tc>
      </w:tr>
      <w:tr>
        <w:tc>
          <w:tcPr>
            <w:tcW w:type="dxa" w:w="4536"/>
          </w:tcPr>
          <w:p>
            <w:r>
              <w:rPr>
                <w:rFonts w:ascii="Times New Roman" w:hAnsi="Times New Roman"/>
                <w:sz w:val="20"/>
              </w:rPr>
              <w:t>Gutachter-Zerschlagungswert</w:t>
            </w:r>
          </w:p>
        </w:tc>
        <w:tc>
          <w:tcPr>
            <w:tcW w:type="dxa" w:w="4536"/>
          </w:tcPr>
          <w:p>
            <w:r>
              <w:rPr>
                <w:rFonts w:ascii="Times New Roman" w:hAnsi="Times New Roman"/>
                <w:sz w:val="20"/>
              </w:rPr>
              <w:t>75.000 €</w:t>
            </w:r>
          </w:p>
        </w:tc>
      </w:tr>
    </w:tbl>
    <w:p>
      <w:pPr>
        <w:jc w:val="left"/>
      </w:pPr>
      <w:r>
        <w:t>Begründung: Abzug für Spindelüberholung; älteres Modell, aber Heidenhain-Steuerung stabil nachgefragt in Lohnfertigung.</w:t>
      </w:r>
    </w:p>
    <w:p>
      <w:pPr>
        <w:pStyle w:val="Heading3"/>
      </w:pPr>
      <w:r>
        <w:rPr>
          <w:rFonts w:ascii="Times New Roman" w:hAnsi="Times New Roman"/>
        </w:rPr>
        <w:t>1.3 Brückenkran 15 t (Leasingobjekt)</w:t>
      </w:r>
    </w:p>
    <w:p>
      <w:pPr>
        <w:jc w:val="left"/>
      </w:pPr>
      <w:r>
        <w:rPr>
          <w:b/>
        </w:rPr>
        <w:t>Hinweis:</w:t>
      </w:r>
      <w:r>
        <w:t xml:space="preserve"> Der Brückenkran ist </w:t>
      </w:r>
      <w:r>
        <w:rPr>
          <w:b/>
        </w:rPr>
        <w:t>Leasingeigentum</w:t>
      </w:r>
      <w:r>
        <w:t xml:space="preserve"> der LeasingWerk GmbH und daher </w:t>
      </w:r>
      <w:r>
        <w:rPr>
          <w:b/>
        </w:rPr>
        <w:t>kein Insolvenzmasse-Gegenstand</w:t>
      </w:r>
      <w:r>
        <w:t xml:space="preserve"> (§ 47 InsO). Er wird in der Sicherheitenbewertung der NordBank AG nicht erfasst. Für Zwecke des Fortführungsplans ist jedoch sein funktionaler Wert als kritische Betriebsanlage zu vermerken.</w:t>
      </w:r>
    </w:p>
    <w:p>
      <w:pPr>
        <w:pStyle w:val="Heading3"/>
      </w:pPr>
      <w:r>
        <w:rPr>
          <w:rFonts w:ascii="Times New Roman" w:hAnsi="Times New Roman"/>
        </w:rPr>
        <w:t>1.4 Schweißanlagen (5 Fronius-Einheiten)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Angabe</w:t>
            </w:r>
          </w:p>
        </w:tc>
      </w:tr>
      <w:tr>
        <w:tc>
          <w:tcPr>
            <w:tcW w:type="dxa" w:w="4536"/>
          </w:tcPr>
          <w:p>
            <w:r>
              <w:rPr>
                <w:rFonts w:ascii="Times New Roman" w:hAnsi="Times New Roman"/>
                <w:sz w:val="20"/>
              </w:rPr>
              <w:t>Baujahr</w:t>
            </w:r>
          </w:p>
        </w:tc>
        <w:tc>
          <w:tcPr>
            <w:tcW w:type="dxa" w:w="4536"/>
          </w:tcPr>
          <w:p>
            <w:r>
              <w:rPr>
                <w:rFonts w:ascii="Times New Roman" w:hAnsi="Times New Roman"/>
                <w:sz w:val="20"/>
              </w:rPr>
              <w:t>2018–2022 (gestaffelt)</w:t>
            </w:r>
          </w:p>
        </w:tc>
      </w:tr>
      <w:tr>
        <w:tc>
          <w:tcPr>
            <w:tcW w:type="dxa" w:w="4536"/>
          </w:tcPr>
          <w:p>
            <w:r>
              <w:rPr>
                <w:rFonts w:ascii="Times New Roman" w:hAnsi="Times New Roman"/>
                <w:sz w:val="20"/>
              </w:rPr>
              <w:t>Buchwert gesamt</w:t>
            </w:r>
          </w:p>
        </w:tc>
        <w:tc>
          <w:tcPr>
            <w:tcW w:type="dxa" w:w="4536"/>
          </w:tcPr>
          <w:p>
            <w:r>
              <w:rPr>
                <w:rFonts w:ascii="Times New Roman" w:hAnsi="Times New Roman"/>
                <w:sz w:val="20"/>
              </w:rPr>
              <w:t>68.000 €</w:t>
            </w:r>
          </w:p>
        </w:tc>
      </w:tr>
      <w:tr>
        <w:tc>
          <w:tcPr>
            <w:tcW w:type="dxa" w:w="4536"/>
          </w:tcPr>
          <w:p>
            <w:r>
              <w:rPr>
                <w:rFonts w:ascii="Times New Roman" w:hAnsi="Times New Roman"/>
                <w:sz w:val="20"/>
              </w:rPr>
              <w:t>Gutachter-Fortführungswert</w:t>
            </w:r>
          </w:p>
        </w:tc>
        <w:tc>
          <w:tcPr>
            <w:tcW w:type="dxa" w:w="4536"/>
          </w:tcPr>
          <w:p>
            <w:r>
              <w:rPr>
                <w:rFonts w:ascii="Times New Roman" w:hAnsi="Times New Roman"/>
                <w:sz w:val="20"/>
              </w:rPr>
              <w:t>110.000 €</w:t>
            </w:r>
          </w:p>
        </w:tc>
      </w:tr>
      <w:tr>
        <w:tc>
          <w:tcPr>
            <w:tcW w:type="dxa" w:w="4536"/>
          </w:tcPr>
          <w:p>
            <w:r>
              <w:rPr>
                <w:rFonts w:ascii="Times New Roman" w:hAnsi="Times New Roman"/>
                <w:sz w:val="20"/>
              </w:rPr>
              <w:t>Gutachter-Zerschlagungswert</w:t>
            </w:r>
          </w:p>
        </w:tc>
        <w:tc>
          <w:tcPr>
            <w:tcW w:type="dxa" w:w="4536"/>
          </w:tcPr>
          <w:p>
            <w:r>
              <w:rPr>
                <w:rFonts w:ascii="Times New Roman" w:hAnsi="Times New Roman"/>
                <w:sz w:val="20"/>
              </w:rPr>
              <w:t>52.000 €</w:t>
            </w:r>
          </w:p>
        </w:tc>
      </w:tr>
    </w:tbl>
    <w:p>
      <w:pPr>
        <w:jc w:val="left"/>
      </w:pPr>
      <w:r>
        <w:t>Fronius-Schweißgeräte haben einen stabilen Gebrauchtmarkt. Aufwärtsbewertung gegenüber Buchwert.</w:t>
      </w:r>
    </w:p>
    <w:p>
      <w:pPr>
        <w:pStyle w:val="Heading3"/>
      </w:pPr>
      <w:r>
        <w:rPr>
          <w:rFonts w:ascii="Times New Roman" w:hAnsi="Times New Roman"/>
        </w:rPr>
        <w:t>1.5 Sonstige Maschinen und Werkzeuge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Position</w:t>
            </w:r>
          </w:p>
        </w:tc>
        <w:tc>
          <w:tcPr>
            <w:tcW w:type="dxa" w:w="2268"/>
          </w:tcPr>
          <w:p>
            <w:r>
              <w:rPr>
                <w:rFonts w:ascii="Times New Roman" w:hAnsi="Times New Roman"/>
                <w:b/>
                <w:sz w:val="20"/>
              </w:rPr>
              <w:t>Buchwert</w:t>
            </w:r>
          </w:p>
        </w:tc>
        <w:tc>
          <w:tcPr>
            <w:tcW w:type="dxa" w:w="2268"/>
          </w:tcPr>
          <w:p>
            <w:r>
              <w:rPr>
                <w:rFonts w:ascii="Times New Roman" w:hAnsi="Times New Roman"/>
                <w:b/>
                <w:sz w:val="20"/>
              </w:rPr>
              <w:t>Fortführungswert</w:t>
            </w:r>
          </w:p>
        </w:tc>
        <w:tc>
          <w:tcPr>
            <w:tcW w:type="dxa" w:w="2268"/>
          </w:tcPr>
          <w:p>
            <w:r>
              <w:rPr>
                <w:rFonts w:ascii="Times New Roman" w:hAnsi="Times New Roman"/>
                <w:b/>
                <w:sz w:val="20"/>
              </w:rPr>
              <w:t>Zerschlagungswert</w:t>
            </w:r>
          </w:p>
        </w:tc>
      </w:tr>
      <w:tr>
        <w:tc>
          <w:tcPr>
            <w:tcW w:type="dxa" w:w="2268"/>
          </w:tcPr>
          <w:p>
            <w:r>
              <w:rPr>
                <w:rFonts w:ascii="Times New Roman" w:hAnsi="Times New Roman"/>
                <w:sz w:val="20"/>
              </w:rPr>
              <w:t>Säge- und Biegemaschinen</w:t>
            </w:r>
          </w:p>
        </w:tc>
        <w:tc>
          <w:tcPr>
            <w:tcW w:type="dxa" w:w="2268"/>
          </w:tcPr>
          <w:p>
            <w:r>
              <w:rPr>
                <w:rFonts w:ascii="Times New Roman" w:hAnsi="Times New Roman"/>
                <w:sz w:val="20"/>
              </w:rPr>
              <w:t>48.000 €</w:t>
            </w:r>
          </w:p>
        </w:tc>
        <w:tc>
          <w:tcPr>
            <w:tcW w:type="dxa" w:w="2268"/>
          </w:tcPr>
          <w:p>
            <w:r>
              <w:rPr>
                <w:rFonts w:ascii="Times New Roman" w:hAnsi="Times New Roman"/>
                <w:sz w:val="20"/>
              </w:rPr>
              <w:t>70.000 €</w:t>
            </w:r>
          </w:p>
        </w:tc>
        <w:tc>
          <w:tcPr>
            <w:tcW w:type="dxa" w:w="2268"/>
          </w:tcPr>
          <w:p>
            <w:r>
              <w:rPr>
                <w:rFonts w:ascii="Times New Roman" w:hAnsi="Times New Roman"/>
                <w:sz w:val="20"/>
              </w:rPr>
              <w:t>35.000 €</w:t>
            </w:r>
          </w:p>
        </w:tc>
      </w:tr>
      <w:tr>
        <w:tc>
          <w:tcPr>
            <w:tcW w:type="dxa" w:w="2268"/>
          </w:tcPr>
          <w:p>
            <w:r>
              <w:rPr>
                <w:rFonts w:ascii="Times New Roman" w:hAnsi="Times New Roman"/>
                <w:sz w:val="20"/>
              </w:rPr>
              <w:t>Stapler und Flurfahrzeuge</w:t>
            </w:r>
          </w:p>
        </w:tc>
        <w:tc>
          <w:tcPr>
            <w:tcW w:type="dxa" w:w="2268"/>
          </w:tcPr>
          <w:p>
            <w:r>
              <w:rPr>
                <w:rFonts w:ascii="Times New Roman" w:hAnsi="Times New Roman"/>
                <w:sz w:val="20"/>
              </w:rPr>
              <w:t>82.000 €</w:t>
            </w:r>
          </w:p>
        </w:tc>
        <w:tc>
          <w:tcPr>
            <w:tcW w:type="dxa" w:w="2268"/>
          </w:tcPr>
          <w:p>
            <w:r>
              <w:rPr>
                <w:rFonts w:ascii="Times New Roman" w:hAnsi="Times New Roman"/>
                <w:sz w:val="20"/>
              </w:rPr>
              <w:t>110.000 €</w:t>
            </w:r>
          </w:p>
        </w:tc>
        <w:tc>
          <w:tcPr>
            <w:tcW w:type="dxa" w:w="2268"/>
          </w:tcPr>
          <w:p>
            <w:r>
              <w:rPr>
                <w:rFonts w:ascii="Times New Roman" w:hAnsi="Times New Roman"/>
                <w:sz w:val="20"/>
              </w:rPr>
              <w:t>58.000 €</w:t>
            </w:r>
          </w:p>
        </w:tc>
      </w:tr>
      <w:tr>
        <w:tc>
          <w:tcPr>
            <w:tcW w:type="dxa" w:w="2268"/>
          </w:tcPr>
          <w:p>
            <w:r>
              <w:rPr>
                <w:rFonts w:ascii="Times New Roman" w:hAnsi="Times New Roman"/>
                <w:sz w:val="20"/>
              </w:rPr>
              <w:t>EDV, Büroausstattung</w:t>
            </w:r>
          </w:p>
        </w:tc>
        <w:tc>
          <w:tcPr>
            <w:tcW w:type="dxa" w:w="2268"/>
          </w:tcPr>
          <w:p>
            <w:r>
              <w:rPr>
                <w:rFonts w:ascii="Times New Roman" w:hAnsi="Times New Roman"/>
                <w:sz w:val="20"/>
              </w:rPr>
              <w:t>45.000 €</w:t>
            </w:r>
          </w:p>
        </w:tc>
        <w:tc>
          <w:tcPr>
            <w:tcW w:type="dxa" w:w="2268"/>
          </w:tcPr>
          <w:p>
            <w:r>
              <w:rPr>
                <w:rFonts w:ascii="Times New Roman" w:hAnsi="Times New Roman"/>
                <w:sz w:val="20"/>
              </w:rPr>
              <w:t>50.000 €</w:t>
            </w:r>
          </w:p>
        </w:tc>
        <w:tc>
          <w:tcPr>
            <w:tcW w:type="dxa" w:w="2268"/>
          </w:tcPr>
          <w:p>
            <w:r>
              <w:rPr>
                <w:rFonts w:ascii="Times New Roman" w:hAnsi="Times New Roman"/>
                <w:sz w:val="20"/>
              </w:rPr>
              <w:t>18.000 €</w:t>
            </w:r>
          </w:p>
        </w:tc>
      </w:tr>
      <w:tr>
        <w:tc>
          <w:tcPr>
            <w:tcW w:type="dxa" w:w="2268"/>
          </w:tcPr>
          <w:p>
            <w:r>
              <w:rPr>
                <w:rFonts w:ascii="Times New Roman" w:hAnsi="Times New Roman"/>
                <w:sz w:val="20"/>
              </w:rPr>
              <w:t>Werkzeuge und Vorrichtungen</w:t>
            </w:r>
          </w:p>
        </w:tc>
        <w:tc>
          <w:tcPr>
            <w:tcW w:type="dxa" w:w="2268"/>
          </w:tcPr>
          <w:p>
            <w:r>
              <w:rPr>
                <w:rFonts w:ascii="Times New Roman" w:hAnsi="Times New Roman"/>
                <w:sz w:val="20"/>
              </w:rPr>
              <w:t>31.000 €</w:t>
            </w:r>
          </w:p>
        </w:tc>
        <w:tc>
          <w:tcPr>
            <w:tcW w:type="dxa" w:w="2268"/>
          </w:tcPr>
          <w:p>
            <w:r>
              <w:rPr>
                <w:rFonts w:ascii="Times New Roman" w:hAnsi="Times New Roman"/>
                <w:sz w:val="20"/>
              </w:rPr>
              <w:t>45.000 €</w:t>
            </w:r>
          </w:p>
        </w:tc>
        <w:tc>
          <w:tcPr>
            <w:tcW w:type="dxa" w:w="2268"/>
          </w:tcPr>
          <w:p>
            <w:r>
              <w:rPr>
                <w:rFonts w:ascii="Times New Roman" w:hAnsi="Times New Roman"/>
                <w:sz w:val="20"/>
              </w:rPr>
              <w:t>12.000 €</w:t>
            </w:r>
          </w:p>
        </w:tc>
      </w:tr>
      <w:tr>
        <w:tc>
          <w:tcPr>
            <w:tcW w:type="dxa" w:w="2268"/>
          </w:tcPr>
          <w:p>
            <w:r>
              <w:rPr>
                <w:rFonts w:ascii="Times New Roman" w:hAnsi="Times New Roman"/>
                <w:sz w:val="20"/>
              </w:rPr>
              <w:t>Fuhrpark (3 LKW, Baujahr 2020–2022)</w:t>
            </w:r>
          </w:p>
        </w:tc>
        <w:tc>
          <w:tcPr>
            <w:tcW w:type="dxa" w:w="2268"/>
          </w:tcPr>
          <w:p>
            <w:r>
              <w:rPr>
                <w:rFonts w:ascii="Times New Roman" w:hAnsi="Times New Roman"/>
                <w:sz w:val="20"/>
              </w:rPr>
              <w:t>208.000 €</w:t>
            </w:r>
          </w:p>
        </w:tc>
        <w:tc>
          <w:tcPr>
            <w:tcW w:type="dxa" w:w="2268"/>
          </w:tcPr>
          <w:p>
            <w:r>
              <w:rPr>
                <w:rFonts w:ascii="Times New Roman" w:hAnsi="Times New Roman"/>
                <w:sz w:val="20"/>
              </w:rPr>
              <w:t>178.000 €</w:t>
            </w:r>
          </w:p>
        </w:tc>
        <w:tc>
          <w:tcPr>
            <w:tcW w:type="dxa" w:w="2268"/>
          </w:tcPr>
          <w:p>
            <w:r>
              <w:rPr>
                <w:rFonts w:ascii="Times New Roman" w:hAnsi="Times New Roman"/>
                <w:sz w:val="20"/>
              </w:rPr>
              <w:t>98.000 €</w:t>
            </w:r>
          </w:p>
        </w:tc>
      </w:tr>
    </w:tbl>
    <w:p>
      <w:pPr>
        <w:pStyle w:val="Heading3"/>
      </w:pPr>
      <w:r>
        <w:rPr>
          <w:rFonts w:ascii="Times New Roman" w:hAnsi="Times New Roman"/>
        </w:rPr>
        <w:t>1.6 Erbbaurechts-Ausbau</w:t>
      </w:r>
    </w:p>
    <w:p>
      <w:pPr>
        <w:jc w:val="left"/>
      </w:pPr>
      <w:r>
        <w:t>Der Produktionshallenausbau (Erbbaurecht Stadt Hamburg bis 2051) ist nicht trennbar vom Grundstück und hat bei einer Liquidation einen sehr niedrigen Verwertungswert, da der Ausbau auf die spezifischen Fertigungsanforderungen zugeschnitten ist (Schwerlastboden, Deckentraverse).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Angabe</w:t>
            </w:r>
          </w:p>
        </w:tc>
      </w:tr>
      <w:tr>
        <w:tc>
          <w:tcPr>
            <w:tcW w:type="dxa" w:w="4536"/>
          </w:tcPr>
          <w:p>
            <w:r>
              <w:rPr>
                <w:rFonts w:ascii="Times New Roman" w:hAnsi="Times New Roman"/>
                <w:sz w:val="20"/>
              </w:rPr>
              <w:t>Buchwert 30.04.2026</w:t>
            </w:r>
          </w:p>
        </w:tc>
        <w:tc>
          <w:tcPr>
            <w:tcW w:type="dxa" w:w="4536"/>
          </w:tcPr>
          <w:p>
            <w:r>
              <w:rPr>
                <w:rFonts w:ascii="Times New Roman" w:hAnsi="Times New Roman"/>
                <w:sz w:val="20"/>
              </w:rPr>
              <w:t>740.000 €</w:t>
            </w:r>
          </w:p>
        </w:tc>
      </w:tr>
      <w:tr>
        <w:tc>
          <w:tcPr>
            <w:tcW w:type="dxa" w:w="4536"/>
          </w:tcPr>
          <w:p>
            <w:r>
              <w:rPr>
                <w:rFonts w:ascii="Times New Roman" w:hAnsi="Times New Roman"/>
                <w:sz w:val="20"/>
              </w:rPr>
              <w:t>Gutachter-Fortführungswert</w:t>
            </w:r>
          </w:p>
        </w:tc>
        <w:tc>
          <w:tcPr>
            <w:tcW w:type="dxa" w:w="4536"/>
          </w:tcPr>
          <w:p>
            <w:r>
              <w:rPr>
                <w:rFonts w:ascii="Times New Roman" w:hAnsi="Times New Roman"/>
                <w:sz w:val="20"/>
              </w:rPr>
              <w:t>600.000 €</w:t>
            </w:r>
          </w:p>
        </w:tc>
      </w:tr>
      <w:tr>
        <w:tc>
          <w:tcPr>
            <w:tcW w:type="dxa" w:w="4536"/>
          </w:tcPr>
          <w:p>
            <w:r>
              <w:rPr>
                <w:rFonts w:ascii="Times New Roman" w:hAnsi="Times New Roman"/>
                <w:sz w:val="20"/>
              </w:rPr>
              <w:t>Gutachter-Zerschlagungswert</w:t>
            </w:r>
          </w:p>
        </w:tc>
        <w:tc>
          <w:tcPr>
            <w:tcW w:type="dxa" w:w="4536"/>
          </w:tcPr>
          <w:p>
            <w:r>
              <w:rPr>
                <w:rFonts w:ascii="Times New Roman" w:hAnsi="Times New Roman"/>
                <w:sz w:val="20"/>
              </w:rPr>
              <w:t>95.000 €</w:t>
            </w:r>
          </w:p>
        </w:tc>
      </w:tr>
    </w:tbl>
    <w:p/>
    <w:p>
      <w:pPr>
        <w:pStyle w:val="Heading2"/>
      </w:pPr>
      <w:r>
        <w:rPr>
          <w:rFonts w:ascii="Times New Roman" w:hAnsi="Times New Roman"/>
        </w:rPr>
        <w:t>2. Zusammenfassung Maschinenpark und Sachanlagen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Position</w:t>
            </w:r>
          </w:p>
        </w:tc>
        <w:tc>
          <w:tcPr>
            <w:tcW w:type="dxa" w:w="3024"/>
          </w:tcPr>
          <w:p>
            <w:r>
              <w:rPr>
                <w:rFonts w:ascii="Times New Roman" w:hAnsi="Times New Roman"/>
                <w:b/>
                <w:sz w:val="20"/>
              </w:rPr>
              <w:t>Fortführungswert</w:t>
            </w:r>
          </w:p>
        </w:tc>
        <w:tc>
          <w:tcPr>
            <w:tcW w:type="dxa" w:w="3024"/>
          </w:tcPr>
          <w:p>
            <w:r>
              <w:rPr>
                <w:rFonts w:ascii="Times New Roman" w:hAnsi="Times New Roman"/>
                <w:b/>
                <w:sz w:val="20"/>
              </w:rPr>
              <w:t>Zerschlagungswert</w:t>
            </w:r>
          </w:p>
        </w:tc>
      </w:tr>
      <w:tr>
        <w:tc>
          <w:tcPr>
            <w:tcW w:type="dxa" w:w="3024"/>
          </w:tcPr>
          <w:p>
            <w:r>
              <w:rPr>
                <w:rFonts w:ascii="Times New Roman" w:hAnsi="Times New Roman"/>
                <w:sz w:val="20"/>
              </w:rPr>
              <w:t>CNC Okuma</w:t>
            </w:r>
          </w:p>
        </w:tc>
        <w:tc>
          <w:tcPr>
            <w:tcW w:type="dxa" w:w="3024"/>
          </w:tcPr>
          <w:p>
            <w:r>
              <w:rPr>
                <w:rFonts w:ascii="Times New Roman" w:hAnsi="Times New Roman"/>
                <w:sz w:val="20"/>
              </w:rPr>
              <w:t>240.000 €</w:t>
            </w:r>
          </w:p>
        </w:tc>
        <w:tc>
          <w:tcPr>
            <w:tcW w:type="dxa" w:w="3024"/>
          </w:tcPr>
          <w:p>
            <w:r>
              <w:rPr>
                <w:rFonts w:ascii="Times New Roman" w:hAnsi="Times New Roman"/>
                <w:sz w:val="20"/>
              </w:rPr>
              <w:t>120.000 €</w:t>
            </w:r>
          </w:p>
        </w:tc>
      </w:tr>
      <w:tr>
        <w:tc>
          <w:tcPr>
            <w:tcW w:type="dxa" w:w="3024"/>
          </w:tcPr>
          <w:p>
            <w:r>
              <w:rPr>
                <w:rFonts w:ascii="Times New Roman" w:hAnsi="Times New Roman"/>
                <w:sz w:val="20"/>
              </w:rPr>
              <w:t>CNC Heidenhain</w:t>
            </w:r>
          </w:p>
        </w:tc>
        <w:tc>
          <w:tcPr>
            <w:tcW w:type="dxa" w:w="3024"/>
          </w:tcPr>
          <w:p>
            <w:r>
              <w:rPr>
                <w:rFonts w:ascii="Times New Roman" w:hAnsi="Times New Roman"/>
                <w:sz w:val="20"/>
              </w:rPr>
              <w:t>155.000 €</w:t>
            </w:r>
          </w:p>
        </w:tc>
        <w:tc>
          <w:tcPr>
            <w:tcW w:type="dxa" w:w="3024"/>
          </w:tcPr>
          <w:p>
            <w:r>
              <w:rPr>
                <w:rFonts w:ascii="Times New Roman" w:hAnsi="Times New Roman"/>
                <w:sz w:val="20"/>
              </w:rPr>
              <w:t>75.000 €</w:t>
            </w:r>
          </w:p>
        </w:tc>
      </w:tr>
      <w:tr>
        <w:tc>
          <w:tcPr>
            <w:tcW w:type="dxa" w:w="3024"/>
          </w:tcPr>
          <w:p>
            <w:r>
              <w:rPr>
                <w:rFonts w:ascii="Times New Roman" w:hAnsi="Times New Roman"/>
                <w:sz w:val="20"/>
              </w:rPr>
              <w:t>Schweißanlagen</w:t>
            </w:r>
          </w:p>
        </w:tc>
        <w:tc>
          <w:tcPr>
            <w:tcW w:type="dxa" w:w="3024"/>
          </w:tcPr>
          <w:p>
            <w:r>
              <w:rPr>
                <w:rFonts w:ascii="Times New Roman" w:hAnsi="Times New Roman"/>
                <w:sz w:val="20"/>
              </w:rPr>
              <w:t>110.000 €</w:t>
            </w:r>
          </w:p>
        </w:tc>
        <w:tc>
          <w:tcPr>
            <w:tcW w:type="dxa" w:w="3024"/>
          </w:tcPr>
          <w:p>
            <w:r>
              <w:rPr>
                <w:rFonts w:ascii="Times New Roman" w:hAnsi="Times New Roman"/>
                <w:sz w:val="20"/>
              </w:rPr>
              <w:t>52.000 €</w:t>
            </w:r>
          </w:p>
        </w:tc>
      </w:tr>
      <w:tr>
        <w:tc>
          <w:tcPr>
            <w:tcW w:type="dxa" w:w="3024"/>
          </w:tcPr>
          <w:p>
            <w:r>
              <w:rPr>
                <w:rFonts w:ascii="Times New Roman" w:hAnsi="Times New Roman"/>
                <w:sz w:val="20"/>
              </w:rPr>
              <w:t>Sonstige Maschinen / Werkzeuge</w:t>
            </w:r>
          </w:p>
        </w:tc>
        <w:tc>
          <w:tcPr>
            <w:tcW w:type="dxa" w:w="3024"/>
          </w:tcPr>
          <w:p>
            <w:r>
              <w:rPr>
                <w:rFonts w:ascii="Times New Roman" w:hAnsi="Times New Roman"/>
                <w:sz w:val="20"/>
              </w:rPr>
              <w:t>115.000 €</w:t>
            </w:r>
          </w:p>
        </w:tc>
        <w:tc>
          <w:tcPr>
            <w:tcW w:type="dxa" w:w="3024"/>
          </w:tcPr>
          <w:p>
            <w:r>
              <w:rPr>
                <w:rFonts w:ascii="Times New Roman" w:hAnsi="Times New Roman"/>
                <w:sz w:val="20"/>
              </w:rPr>
              <w:t>47.000 €</w:t>
            </w:r>
          </w:p>
        </w:tc>
      </w:tr>
      <w:tr>
        <w:tc>
          <w:tcPr>
            <w:tcW w:type="dxa" w:w="3024"/>
          </w:tcPr>
          <w:p>
            <w:r>
              <w:rPr>
                <w:rFonts w:ascii="Times New Roman" w:hAnsi="Times New Roman"/>
                <w:sz w:val="20"/>
              </w:rPr>
              <w:t>Stapler und Flurfahrzeuge</w:t>
            </w:r>
          </w:p>
        </w:tc>
        <w:tc>
          <w:tcPr>
            <w:tcW w:type="dxa" w:w="3024"/>
          </w:tcPr>
          <w:p>
            <w:r>
              <w:rPr>
                <w:rFonts w:ascii="Times New Roman" w:hAnsi="Times New Roman"/>
                <w:sz w:val="20"/>
              </w:rPr>
              <w:t>110.000 €</w:t>
            </w:r>
          </w:p>
        </w:tc>
        <w:tc>
          <w:tcPr>
            <w:tcW w:type="dxa" w:w="3024"/>
          </w:tcPr>
          <w:p>
            <w:r>
              <w:rPr>
                <w:rFonts w:ascii="Times New Roman" w:hAnsi="Times New Roman"/>
                <w:sz w:val="20"/>
              </w:rPr>
              <w:t>58.000 €</w:t>
            </w:r>
          </w:p>
        </w:tc>
      </w:tr>
      <w:tr>
        <w:tc>
          <w:tcPr>
            <w:tcW w:type="dxa" w:w="3024"/>
          </w:tcPr>
          <w:p>
            <w:r>
              <w:rPr>
                <w:rFonts w:ascii="Times New Roman" w:hAnsi="Times New Roman"/>
                <w:sz w:val="20"/>
              </w:rPr>
              <w:t>Fuhrpark</w:t>
            </w:r>
          </w:p>
        </w:tc>
        <w:tc>
          <w:tcPr>
            <w:tcW w:type="dxa" w:w="3024"/>
          </w:tcPr>
          <w:p>
            <w:r>
              <w:rPr>
                <w:rFonts w:ascii="Times New Roman" w:hAnsi="Times New Roman"/>
                <w:sz w:val="20"/>
              </w:rPr>
              <w:t>178.000 €</w:t>
            </w:r>
          </w:p>
        </w:tc>
        <w:tc>
          <w:tcPr>
            <w:tcW w:type="dxa" w:w="3024"/>
          </w:tcPr>
          <w:p>
            <w:r>
              <w:rPr>
                <w:rFonts w:ascii="Times New Roman" w:hAnsi="Times New Roman"/>
                <w:sz w:val="20"/>
              </w:rPr>
              <w:t>98.000 €</w:t>
            </w:r>
          </w:p>
        </w:tc>
      </w:tr>
      <w:tr>
        <w:tc>
          <w:tcPr>
            <w:tcW w:type="dxa" w:w="3024"/>
          </w:tcPr>
          <w:p>
            <w:r>
              <w:rPr>
                <w:rFonts w:ascii="Times New Roman" w:hAnsi="Times New Roman"/>
                <w:sz w:val="20"/>
              </w:rPr>
              <w:t>EDV / Büro</w:t>
            </w:r>
          </w:p>
        </w:tc>
        <w:tc>
          <w:tcPr>
            <w:tcW w:type="dxa" w:w="3024"/>
          </w:tcPr>
          <w:p>
            <w:r>
              <w:rPr>
                <w:rFonts w:ascii="Times New Roman" w:hAnsi="Times New Roman"/>
                <w:sz w:val="20"/>
              </w:rPr>
              <w:t>50.000 €</w:t>
            </w:r>
          </w:p>
        </w:tc>
        <w:tc>
          <w:tcPr>
            <w:tcW w:type="dxa" w:w="3024"/>
          </w:tcPr>
          <w:p>
            <w:r>
              <w:rPr>
                <w:rFonts w:ascii="Times New Roman" w:hAnsi="Times New Roman"/>
                <w:sz w:val="20"/>
              </w:rPr>
              <w:t>18.000 €</w:t>
            </w:r>
          </w:p>
        </w:tc>
      </w:tr>
      <w:tr>
        <w:tc>
          <w:tcPr>
            <w:tcW w:type="dxa" w:w="3024"/>
          </w:tcPr>
          <w:p>
            <w:r>
              <w:rPr>
                <w:rFonts w:ascii="Times New Roman" w:hAnsi="Times New Roman"/>
                <w:sz w:val="20"/>
              </w:rPr>
              <w:t>Erbbaurecht-Ausbau</w:t>
            </w:r>
          </w:p>
        </w:tc>
        <w:tc>
          <w:tcPr>
            <w:tcW w:type="dxa" w:w="3024"/>
          </w:tcPr>
          <w:p>
            <w:r>
              <w:rPr>
                <w:rFonts w:ascii="Times New Roman" w:hAnsi="Times New Roman"/>
                <w:sz w:val="20"/>
              </w:rPr>
              <w:t>600.000 €</w:t>
            </w:r>
          </w:p>
        </w:tc>
        <w:tc>
          <w:tcPr>
            <w:tcW w:type="dxa" w:w="3024"/>
          </w:tcPr>
          <w:p>
            <w:r>
              <w:rPr>
                <w:rFonts w:ascii="Times New Roman" w:hAnsi="Times New Roman"/>
                <w:sz w:val="20"/>
              </w:rPr>
              <w:t>95.000 €</w:t>
            </w:r>
          </w:p>
        </w:tc>
      </w:tr>
      <w:tr>
        <w:tc>
          <w:tcPr>
            <w:tcW w:type="dxa" w:w="3024"/>
          </w:tcPr>
          <w:p>
            <w:r>
              <w:rPr>
                <w:rFonts w:ascii="Times New Roman" w:hAnsi="Times New Roman"/>
                <w:b/>
                <w:sz w:val="20"/>
              </w:rPr>
              <w:t>Gesamt Sachanlagen</w:t>
            </w:r>
          </w:p>
        </w:tc>
        <w:tc>
          <w:tcPr>
            <w:tcW w:type="dxa" w:w="3024"/>
          </w:tcPr>
          <w:p>
            <w:r>
              <w:rPr>
                <w:rFonts w:ascii="Times New Roman" w:hAnsi="Times New Roman"/>
                <w:b/>
                <w:sz w:val="20"/>
              </w:rPr>
              <w:t>1.558.000 €</w:t>
            </w:r>
          </w:p>
        </w:tc>
        <w:tc>
          <w:tcPr>
            <w:tcW w:type="dxa" w:w="3024"/>
          </w:tcPr>
          <w:p>
            <w:r>
              <w:rPr>
                <w:rFonts w:ascii="Times New Roman" w:hAnsi="Times New Roman"/>
                <w:b/>
                <w:sz w:val="20"/>
              </w:rPr>
              <w:t>563.000 €</w:t>
            </w:r>
          </w:p>
        </w:tc>
      </w:tr>
    </w:tbl>
    <w:p>
      <w:pPr>
        <w:jc w:val="left"/>
      </w:pPr>
      <w:r>
        <w:t xml:space="preserve">Der Sachverständige empfiehlt, für Verhandlungszwecke mit der NordBank AG den </w:t>
      </w:r>
      <w:r>
        <w:rPr>
          <w:b/>
        </w:rPr>
        <w:t>Fortführungswert von 1.250.000 Euro</w:t>
      </w:r>
      <w:r>
        <w:t xml:space="preserve"> (konservativ) anzusetzen, der die nicht sicherheitsübereigneten Leasingobjekte und den Ausbau (begrenzt verwertbar) berücksichtigt.</w:t>
      </w:r>
    </w:p>
    <w:p/>
    <w:p>
      <w:pPr>
        <w:pStyle w:val="Heading2"/>
      </w:pPr>
      <w:r>
        <w:rPr>
          <w:rFonts w:ascii="Times New Roman" w:hAnsi="Times New Roman"/>
        </w:rPr>
        <w:t>3. Forderungsbestand und Globalzession (NordBank AG)</w:t>
      </w:r>
    </w:p>
    <w:p>
      <w:pPr>
        <w:pStyle w:val="Heading3"/>
      </w:pPr>
      <w:r>
        <w:rPr>
          <w:rFonts w:ascii="Times New Roman" w:hAnsi="Times New Roman"/>
        </w:rPr>
        <w:t>3.1 Analyse der Debitorenliste (OPOS per 30. April 2026)</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Debitor</w:t>
            </w:r>
          </w:p>
        </w:tc>
        <w:tc>
          <w:tcPr>
            <w:tcW w:type="dxa" w:w="2268"/>
          </w:tcPr>
          <w:p>
            <w:r>
              <w:rPr>
                <w:rFonts w:ascii="Times New Roman" w:hAnsi="Times New Roman"/>
                <w:b/>
                <w:sz w:val="20"/>
              </w:rPr>
              <w:t>Forderung brutto</w:t>
            </w:r>
          </w:p>
        </w:tc>
        <w:tc>
          <w:tcPr>
            <w:tcW w:type="dxa" w:w="2268"/>
          </w:tcPr>
          <w:p>
            <w:r>
              <w:rPr>
                <w:rFonts w:ascii="Times New Roman" w:hAnsi="Times New Roman"/>
                <w:b/>
                <w:sz w:val="20"/>
              </w:rPr>
              <w:t>Einschätzung Werthaltigkeit</w:t>
            </w:r>
          </w:p>
        </w:tc>
        <w:tc>
          <w:tcPr>
            <w:tcW w:type="dxa" w:w="2268"/>
          </w:tcPr>
          <w:p>
            <w:r>
              <w:rPr>
                <w:rFonts w:ascii="Times New Roman" w:hAnsi="Times New Roman"/>
                <w:b/>
                <w:sz w:val="20"/>
              </w:rPr>
              <w:t>Netto (verwertbar)</w:t>
            </w:r>
          </w:p>
        </w:tc>
      </w:tr>
      <w:tr>
        <w:tc>
          <w:tcPr>
            <w:tcW w:type="dxa" w:w="2268"/>
          </w:tcPr>
          <w:p>
            <w:r>
              <w:rPr>
                <w:rFonts w:ascii="Times New Roman" w:hAnsi="Times New Roman"/>
                <w:sz w:val="20"/>
              </w:rPr>
              <w:t>Stadtwerke Nord GmbH &amp; Co. KG</w:t>
            </w:r>
          </w:p>
        </w:tc>
        <w:tc>
          <w:tcPr>
            <w:tcW w:type="dxa" w:w="2268"/>
          </w:tcPr>
          <w:p>
            <w:r>
              <w:rPr>
                <w:rFonts w:ascii="Times New Roman" w:hAnsi="Times New Roman"/>
                <w:sz w:val="20"/>
              </w:rPr>
              <w:t>1.180.000 €</w:t>
            </w:r>
          </w:p>
        </w:tc>
        <w:tc>
          <w:tcPr>
            <w:tcW w:type="dxa" w:w="2268"/>
          </w:tcPr>
          <w:p>
            <w:r>
              <w:rPr>
                <w:rFonts w:ascii="Times New Roman" w:hAnsi="Times New Roman"/>
                <w:sz w:val="20"/>
              </w:rPr>
              <w:t>sehr gut (öffentl. Unternehmen)</w:t>
            </w:r>
          </w:p>
        </w:tc>
        <w:tc>
          <w:tcPr>
            <w:tcW w:type="dxa" w:w="2268"/>
          </w:tcPr>
          <w:p>
            <w:r>
              <w:rPr>
                <w:rFonts w:ascii="Times New Roman" w:hAnsi="Times New Roman"/>
                <w:sz w:val="20"/>
              </w:rPr>
              <w:t>1.100.000 €</w:t>
            </w:r>
          </w:p>
        </w:tc>
      </w:tr>
      <w:tr>
        <w:tc>
          <w:tcPr>
            <w:tcW w:type="dxa" w:w="2268"/>
          </w:tcPr>
          <w:p>
            <w:r>
              <w:rPr>
                <w:rFonts w:ascii="Times New Roman" w:hAnsi="Times New Roman"/>
                <w:sz w:val="20"/>
              </w:rPr>
              <w:t>InfraRail Service GmbH</w:t>
            </w:r>
          </w:p>
        </w:tc>
        <w:tc>
          <w:tcPr>
            <w:tcW w:type="dxa" w:w="2268"/>
          </w:tcPr>
          <w:p>
            <w:r>
              <w:rPr>
                <w:rFonts w:ascii="Times New Roman" w:hAnsi="Times New Roman"/>
                <w:sz w:val="20"/>
              </w:rPr>
              <w:t>980.000 €</w:t>
            </w:r>
          </w:p>
        </w:tc>
        <w:tc>
          <w:tcPr>
            <w:tcW w:type="dxa" w:w="2268"/>
          </w:tcPr>
          <w:p>
            <w:r>
              <w:rPr>
                <w:rFonts w:ascii="Times New Roman" w:hAnsi="Times New Roman"/>
                <w:sz w:val="20"/>
              </w:rPr>
              <w:t>gut (Verzögerungsrisiko)</w:t>
            </w:r>
          </w:p>
        </w:tc>
        <w:tc>
          <w:tcPr>
            <w:tcW w:type="dxa" w:w="2268"/>
          </w:tcPr>
          <w:p>
            <w:r>
              <w:rPr>
                <w:rFonts w:ascii="Times New Roman" w:hAnsi="Times New Roman"/>
                <w:sz w:val="20"/>
              </w:rPr>
              <w:t>750.000 €</w:t>
            </w:r>
          </w:p>
        </w:tc>
      </w:tr>
      <w:tr>
        <w:tc>
          <w:tcPr>
            <w:tcW w:type="dxa" w:w="2268"/>
          </w:tcPr>
          <w:p>
            <w:r>
              <w:rPr>
                <w:rFonts w:ascii="Times New Roman" w:hAnsi="Times New Roman"/>
                <w:sz w:val="20"/>
              </w:rPr>
              <w:t>Elbe Anlagenbau GmbH &amp; Co. KG</w:t>
            </w:r>
          </w:p>
        </w:tc>
        <w:tc>
          <w:tcPr>
            <w:tcW w:type="dxa" w:w="2268"/>
          </w:tcPr>
          <w:p>
            <w:r>
              <w:rPr>
                <w:rFonts w:ascii="Times New Roman" w:hAnsi="Times New Roman"/>
                <w:sz w:val="20"/>
              </w:rPr>
              <w:t>380.000 €</w:t>
            </w:r>
          </w:p>
        </w:tc>
        <w:tc>
          <w:tcPr>
            <w:tcW w:type="dxa" w:w="2268"/>
          </w:tcPr>
          <w:p>
            <w:r>
              <w:rPr>
                <w:rFonts w:ascii="Times New Roman" w:hAnsi="Times New Roman"/>
                <w:sz w:val="20"/>
              </w:rPr>
              <w:t>gut (am 28.05. eingegangen)</w:t>
            </w:r>
          </w:p>
        </w:tc>
        <w:tc>
          <w:tcPr>
            <w:tcW w:type="dxa" w:w="2268"/>
          </w:tcPr>
          <w:p>
            <w:r>
              <w:rPr>
                <w:rFonts w:ascii="Times New Roman" w:hAnsi="Times New Roman"/>
                <w:sz w:val="20"/>
              </w:rPr>
              <w:t>380.000 €</w:t>
            </w:r>
          </w:p>
        </w:tc>
      </w:tr>
      <w:tr>
        <w:tc>
          <w:tcPr>
            <w:tcW w:type="dxa" w:w="2268"/>
          </w:tcPr>
          <w:p>
            <w:r>
              <w:rPr>
                <w:rFonts w:ascii="Times New Roman" w:hAnsi="Times New Roman"/>
                <w:sz w:val="20"/>
              </w:rPr>
              <w:t>Sonstige Debitoren (&lt;50 TEUR)</w:t>
            </w:r>
          </w:p>
        </w:tc>
        <w:tc>
          <w:tcPr>
            <w:tcW w:type="dxa" w:w="2268"/>
          </w:tcPr>
          <w:p>
            <w:r>
              <w:rPr>
                <w:rFonts w:ascii="Times New Roman" w:hAnsi="Times New Roman"/>
                <w:sz w:val="20"/>
              </w:rPr>
              <w:t>620.000 €</w:t>
            </w:r>
          </w:p>
        </w:tc>
        <w:tc>
          <w:tcPr>
            <w:tcW w:type="dxa" w:w="2268"/>
          </w:tcPr>
          <w:p>
            <w:r>
              <w:rPr>
                <w:rFonts w:ascii="Times New Roman" w:hAnsi="Times New Roman"/>
                <w:sz w:val="20"/>
              </w:rPr>
              <w:t>mittel</w:t>
            </w:r>
          </w:p>
        </w:tc>
        <w:tc>
          <w:tcPr>
            <w:tcW w:type="dxa" w:w="2268"/>
          </w:tcPr>
          <w:p>
            <w:r>
              <w:rPr>
                <w:rFonts w:ascii="Times New Roman" w:hAnsi="Times New Roman"/>
                <w:sz w:val="20"/>
              </w:rPr>
              <w:t>410.000 €</w:t>
            </w:r>
          </w:p>
        </w:tc>
      </w:tr>
      <w:tr>
        <w:tc>
          <w:tcPr>
            <w:tcW w:type="dxa" w:w="2268"/>
          </w:tcPr>
          <w:p>
            <w:r>
              <w:rPr>
                <w:rFonts w:ascii="Times New Roman" w:hAnsi="Times New Roman"/>
                <w:sz w:val="20"/>
              </w:rPr>
              <w:t>Streitige Forderungen</w:t>
            </w:r>
          </w:p>
        </w:tc>
        <w:tc>
          <w:tcPr>
            <w:tcW w:type="dxa" w:w="2268"/>
          </w:tcPr>
          <w:p>
            <w:r>
              <w:rPr>
                <w:rFonts w:ascii="Times New Roman" w:hAnsi="Times New Roman"/>
                <w:sz w:val="20"/>
              </w:rPr>
              <w:t>260.000 €</w:t>
            </w:r>
          </w:p>
        </w:tc>
        <w:tc>
          <w:tcPr>
            <w:tcW w:type="dxa" w:w="2268"/>
          </w:tcPr>
          <w:p>
            <w:r>
              <w:rPr>
                <w:rFonts w:ascii="Times New Roman" w:hAnsi="Times New Roman"/>
                <w:sz w:val="20"/>
              </w:rPr>
              <w:t>fraglich</w:t>
            </w:r>
          </w:p>
        </w:tc>
        <w:tc>
          <w:tcPr>
            <w:tcW w:type="dxa" w:w="2268"/>
          </w:tcPr>
          <w:p>
            <w:r>
              <w:rPr>
                <w:rFonts w:ascii="Times New Roman" w:hAnsi="Times New Roman"/>
                <w:sz w:val="20"/>
              </w:rPr>
              <w:t>80.000 €</w:t>
            </w:r>
          </w:p>
        </w:tc>
      </w:tr>
      <w:tr>
        <w:tc>
          <w:tcPr>
            <w:tcW w:type="dxa" w:w="2268"/>
          </w:tcPr>
          <w:p>
            <w:r>
              <w:rPr>
                <w:rFonts w:ascii="Times New Roman" w:hAnsi="Times New Roman"/>
                <w:sz w:val="20"/>
              </w:rPr>
              <w:t>Wertberichtigung pauschalisiert</w:t>
            </w:r>
          </w:p>
        </w:tc>
        <w:tc>
          <w:tcPr>
            <w:tcW w:type="dxa" w:w="2268"/>
          </w:tcPr>
          <w:p/>
        </w:tc>
        <w:tc>
          <w:tcPr>
            <w:tcW w:type="dxa" w:w="2268"/>
          </w:tcPr>
          <w:p/>
        </w:tc>
        <w:tc>
          <w:tcPr>
            <w:tcW w:type="dxa" w:w="2268"/>
          </w:tcPr>
          <w:p>
            <w:r>
              <w:rPr>
                <w:rFonts w:ascii="Times New Roman" w:hAnsi="Times New Roman"/>
                <w:sz w:val="20"/>
              </w:rPr>
              <w:t>–100.000 €</w:t>
            </w:r>
          </w:p>
        </w:tc>
      </w:tr>
      <w:tr>
        <w:tc>
          <w:tcPr>
            <w:tcW w:type="dxa" w:w="2268"/>
          </w:tcPr>
          <w:p>
            <w:r>
              <w:rPr>
                <w:rFonts w:ascii="Times New Roman" w:hAnsi="Times New Roman"/>
                <w:b/>
                <w:sz w:val="20"/>
              </w:rPr>
              <w:t>Gesamt netto (verwertbar)</w:t>
            </w:r>
          </w:p>
        </w:tc>
        <w:tc>
          <w:tcPr>
            <w:tcW w:type="dxa" w:w="2268"/>
          </w:tcPr>
          <w:p/>
        </w:tc>
        <w:tc>
          <w:tcPr>
            <w:tcW w:type="dxa" w:w="2268"/>
          </w:tcPr>
          <w:p/>
        </w:tc>
        <w:tc>
          <w:tcPr>
            <w:tcW w:type="dxa" w:w="2268"/>
          </w:tcPr>
          <w:p>
            <w:r>
              <w:rPr>
                <w:rFonts w:ascii="Times New Roman" w:hAnsi="Times New Roman"/>
                <w:b/>
                <w:sz w:val="20"/>
              </w:rPr>
              <w:t>2.620.000 €</w:t>
            </w:r>
          </w:p>
        </w:tc>
      </w:tr>
    </w:tbl>
    <w:p>
      <w:pPr>
        <w:pStyle w:val="Heading3"/>
      </w:pPr>
      <w:r>
        <w:rPr>
          <w:rFonts w:ascii="Times New Roman" w:hAnsi="Times New Roman"/>
        </w:rPr>
        <w:t>3.2 Einschränkungen der Globalzession</w:t>
      </w:r>
    </w:p>
    <w:p>
      <w:pPr>
        <w:jc w:val="left"/>
      </w:pPr>
      <w:r>
        <w:t>Die Globalzession der NordBank AG ist grundsätzlich wirksam. Jedoch bestehen folgende Einschränkungen:</w:t>
      </w:r>
    </w:p>
    <w:p>
      <w:pPr>
        <w:jc w:val="left"/>
      </w:pPr>
      <w:r>
        <w:rPr>
          <w:b/>
        </w:rPr>
        <w:t>Verlängerter Eigentumsvorbehalt des Stahlhandels Küste:</w:t>
      </w:r>
      <w:r>
        <w:t xml:space="preserve"> Soweit der verlängerte Eigentumsvorbehalt auch auf Forderungen aus Weiterveräußerung des Materials erstreckt wird, kollisioniert er mit der Globalzession. Bei echter Verlängerungsklausel (§ 449 Abs. 3 BGB) hat die Abtretung an die NordBank Vorrang, wenn die Globalzession älter ist als der Eigentumsvorbehalt. </w:t>
      </w:r>
      <w:r>
        <w:rPr>
          <w:b/>
        </w:rPr>
        <w:t>Prüfung der Priorität:</w:t>
      </w:r>
    </w:p>
    <w:p>
      <w:pPr>
        <w:pStyle w:val="ListBullet"/>
      </w:pPr>
      <w:r>
        <w:t>Globalzession NordBank: bestellt 2019.</w:t>
      </w:r>
    </w:p>
    <w:p>
      <w:pPr>
        <w:pStyle w:val="ListBullet"/>
      </w:pPr>
      <w:r>
        <w:t xml:space="preserve">Allgemeine Geschäftsbedingungen (AGB) Stahlhandel Küste: vermutlich branchenübliche AGB mit verlängertem Eigentumsvorbehalt. Datum des ersten Liefervertrags: 2017. </w:t>
      </w:r>
      <w:r>
        <w:rPr>
          <w:b/>
        </w:rPr>
        <w:t>Priorität unklar; rechtliche Klärung erforderlich.</w:t>
      </w:r>
    </w:p>
    <w:p>
      <w:pPr>
        <w:jc w:val="left"/>
      </w:pPr>
      <w:r>
        <w:rPr>
          <w:b/>
        </w:rPr>
        <w:t>Aufrechnungslagen:</w:t>
      </w:r>
      <w:r>
        <w:t xml:space="preserve"> InfraRail Service GmbH hat aus dem verzögerten Bahnstation-Altona-Süd-Auftrag eine Gegenforderung auf Vertragsstrafe geltend gemacht (Höhe: 140.000 Euro, strittig). Soweit eine Aufrechnung zulässig ist, mindert sich der abtretbare Wert der InfraRail-Forderung um diesen Betrag.</w:t>
      </w:r>
    </w:p>
    <w:p>
      <w:pPr>
        <w:jc w:val="left"/>
      </w:pPr>
      <w:r>
        <w:rPr>
          <w:b/>
        </w:rPr>
        <w:t>Masseforderungen:</w:t>
      </w:r>
      <w:r>
        <w:t xml:space="preserve"> Soweit Forderungen nach Insolvenzeröffnung entstehen, fallen sie als Masseforderungen an und sind nicht von der Globalzession erfasst (§ 55 Abs. 1 Nr. 1 InsO Masseforderungen).</w:t>
      </w:r>
    </w:p>
    <w:p>
      <w:pPr>
        <w:jc w:val="left"/>
      </w:pPr>
      <w:r>
        <w:rPr>
          <w:b/>
        </w:rPr>
        <w:t>Bewertungsergebnis Globalzession:</w:t>
      </w:r>
      <w:r>
        <w:t xml:space="preserve"> Verwertbarer Nettobetrag nach Abzug von EV-Risiko (–250.000 Euro) und Aufrechnungsrisiko (–140.000 Euro): </w:t>
      </w:r>
      <w:r>
        <w:rPr>
          <w:b/>
        </w:rPr>
        <w:t>ca. 2.230.000 Euro</w:t>
      </w:r>
      <w:r>
        <w:t>.</w:t>
      </w:r>
    </w:p>
    <w:p/>
    <w:p>
      <w:pPr>
        <w:pStyle w:val="Heading2"/>
      </w:pPr>
      <w:r>
        <w:rPr>
          <w:rFonts w:ascii="Times New Roman" w:hAnsi="Times New Roman"/>
        </w:rPr>
        <w:t>4. Gesamtsicherheitenwert NordBank AG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Sicherheit</w:t>
            </w:r>
          </w:p>
        </w:tc>
        <w:tc>
          <w:tcPr>
            <w:tcW w:type="dxa" w:w="3024"/>
          </w:tcPr>
          <w:p>
            <w:r>
              <w:rPr>
                <w:rFonts w:ascii="Times New Roman" w:hAnsi="Times New Roman"/>
                <w:b/>
                <w:sz w:val="20"/>
              </w:rPr>
              <w:t>Verwertungswert Fortführung</w:t>
            </w:r>
          </w:p>
        </w:tc>
        <w:tc>
          <w:tcPr>
            <w:tcW w:type="dxa" w:w="3024"/>
          </w:tcPr>
          <w:p>
            <w:r>
              <w:rPr>
                <w:rFonts w:ascii="Times New Roman" w:hAnsi="Times New Roman"/>
                <w:b/>
                <w:sz w:val="20"/>
              </w:rPr>
              <w:t>Verwertungswert Liquidation</w:t>
            </w:r>
          </w:p>
        </w:tc>
      </w:tr>
      <w:tr>
        <w:tc>
          <w:tcPr>
            <w:tcW w:type="dxa" w:w="3024"/>
          </w:tcPr>
          <w:p>
            <w:r>
              <w:rPr>
                <w:rFonts w:ascii="Times New Roman" w:hAnsi="Times New Roman"/>
                <w:sz w:val="20"/>
              </w:rPr>
              <w:t>Maschinenpark (Sicherungsübereignung)</w:t>
            </w:r>
          </w:p>
        </w:tc>
        <w:tc>
          <w:tcPr>
            <w:tcW w:type="dxa" w:w="3024"/>
          </w:tcPr>
          <w:p>
            <w:r>
              <w:rPr>
                <w:rFonts w:ascii="Times New Roman" w:hAnsi="Times New Roman"/>
                <w:sz w:val="20"/>
              </w:rPr>
              <w:t>1.250.000 € (konservativ)</w:t>
            </w:r>
          </w:p>
        </w:tc>
        <w:tc>
          <w:tcPr>
            <w:tcW w:type="dxa" w:w="3024"/>
          </w:tcPr>
          <w:p>
            <w:r>
              <w:rPr>
                <w:rFonts w:ascii="Times New Roman" w:hAnsi="Times New Roman"/>
                <w:sz w:val="20"/>
              </w:rPr>
              <w:t>563.000 €</w:t>
            </w:r>
          </w:p>
        </w:tc>
      </w:tr>
      <w:tr>
        <w:tc>
          <w:tcPr>
            <w:tcW w:type="dxa" w:w="3024"/>
          </w:tcPr>
          <w:p>
            <w:r>
              <w:rPr>
                <w:rFonts w:ascii="Times New Roman" w:hAnsi="Times New Roman"/>
                <w:sz w:val="20"/>
              </w:rPr>
              <w:t>Globalzession (Nettowert)</w:t>
            </w:r>
          </w:p>
        </w:tc>
        <w:tc>
          <w:tcPr>
            <w:tcW w:type="dxa" w:w="3024"/>
          </w:tcPr>
          <w:p>
            <w:r>
              <w:rPr>
                <w:rFonts w:ascii="Times New Roman" w:hAnsi="Times New Roman"/>
                <w:sz w:val="20"/>
              </w:rPr>
              <w:t>2.230.000 €</w:t>
            </w:r>
          </w:p>
        </w:tc>
        <w:tc>
          <w:tcPr>
            <w:tcW w:type="dxa" w:w="3024"/>
          </w:tcPr>
          <w:p>
            <w:r>
              <w:rPr>
                <w:rFonts w:ascii="Times New Roman" w:hAnsi="Times New Roman"/>
                <w:sz w:val="20"/>
              </w:rPr>
              <w:t>1.850.000 €</w:t>
            </w:r>
          </w:p>
        </w:tc>
      </w:tr>
      <w:tr>
        <w:tc>
          <w:tcPr>
            <w:tcW w:type="dxa" w:w="3024"/>
          </w:tcPr>
          <w:p>
            <w:r>
              <w:rPr>
                <w:rFonts w:ascii="Times New Roman" w:hAnsi="Times New Roman"/>
                <w:b/>
                <w:sz w:val="20"/>
              </w:rPr>
              <w:t>Gesamt NordBank</w:t>
            </w:r>
          </w:p>
        </w:tc>
        <w:tc>
          <w:tcPr>
            <w:tcW w:type="dxa" w:w="3024"/>
          </w:tcPr>
          <w:p>
            <w:r>
              <w:rPr>
                <w:rFonts w:ascii="Times New Roman" w:hAnsi="Times New Roman"/>
                <w:b/>
                <w:sz w:val="20"/>
              </w:rPr>
              <w:t>3.480.000 €</w:t>
            </w:r>
          </w:p>
        </w:tc>
        <w:tc>
          <w:tcPr>
            <w:tcW w:type="dxa" w:w="3024"/>
          </w:tcPr>
          <w:p>
            <w:r>
              <w:rPr>
                <w:rFonts w:ascii="Times New Roman" w:hAnsi="Times New Roman"/>
                <w:b/>
                <w:sz w:val="20"/>
              </w:rPr>
              <w:t>2.413.000 €</w:t>
            </w:r>
          </w:p>
        </w:tc>
      </w:tr>
    </w:tbl>
    <w:p>
      <w:pPr>
        <w:jc w:val="left"/>
      </w:pPr>
      <w:r>
        <w:rPr>
          <w:b/>
        </w:rPr>
        <w:t>Deckungsquote der NordBank-Forderung (4.200.000 Euro):</w:t>
      </w:r>
    </w:p>
    <w:p>
      <w:pPr>
        <w:pStyle w:val="ListBullet"/>
      </w:pPr>
      <w:r>
        <w:t>Fortführung: 82,9 % – die NordBank ist damit weitgehend, aber nicht vollständig gedeckt.</w:t>
      </w:r>
    </w:p>
    <w:p>
      <w:pPr>
        <w:pStyle w:val="ListBullet"/>
      </w:pPr>
      <w:r>
        <w:t>Liquidation: 57,5 % – erheblicher Ausfall bei Zerschlagung.</w:t>
      </w:r>
    </w:p>
    <w:p/>
    <w:p>
      <w:pPr>
        <w:pStyle w:val="Heading2"/>
      </w:pPr>
      <w:r>
        <w:rPr>
          <w:rFonts w:ascii="Times New Roman" w:hAnsi="Times New Roman"/>
        </w:rPr>
        <w:t>5. Leasingobjekte (LeasingWerk GmbH)</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Objekt</w:t>
            </w:r>
          </w:p>
        </w:tc>
        <w:tc>
          <w:tcPr>
            <w:tcW w:type="dxa" w:w="2268"/>
          </w:tcPr>
          <w:p>
            <w:r>
              <w:rPr>
                <w:rFonts w:ascii="Times New Roman" w:hAnsi="Times New Roman"/>
                <w:b/>
                <w:sz w:val="20"/>
              </w:rPr>
              <w:t>Marktwert Fortführung</w:t>
            </w:r>
          </w:p>
        </w:tc>
        <w:tc>
          <w:tcPr>
            <w:tcW w:type="dxa" w:w="2268"/>
          </w:tcPr>
          <w:p>
            <w:r>
              <w:rPr>
                <w:rFonts w:ascii="Times New Roman" w:hAnsi="Times New Roman"/>
                <w:b/>
                <w:sz w:val="20"/>
              </w:rPr>
              <w:t>Marktwert Liquidation</w:t>
            </w:r>
          </w:p>
        </w:tc>
        <w:tc>
          <w:tcPr>
            <w:tcW w:type="dxa" w:w="2268"/>
          </w:tcPr>
          <w:p>
            <w:r>
              <w:rPr>
                <w:rFonts w:ascii="Times New Roman" w:hAnsi="Times New Roman"/>
                <w:b/>
                <w:sz w:val="20"/>
              </w:rPr>
              <w:t>Eigentum</w:t>
            </w:r>
          </w:p>
        </w:tc>
      </w:tr>
      <w:tr>
        <w:tc>
          <w:tcPr>
            <w:tcW w:type="dxa" w:w="2268"/>
          </w:tcPr>
          <w:p>
            <w:r>
              <w:rPr>
                <w:rFonts w:ascii="Times New Roman" w:hAnsi="Times New Roman"/>
                <w:sz w:val="20"/>
              </w:rPr>
              <w:t>CNC Okuma (Leasing)</w:t>
            </w:r>
          </w:p>
        </w:tc>
        <w:tc>
          <w:tcPr>
            <w:tcW w:type="dxa" w:w="2268"/>
          </w:tcPr>
          <w:p>
            <w:r>
              <w:rPr>
                <w:rFonts w:ascii="Times New Roman" w:hAnsi="Times New Roman"/>
                <w:sz w:val="20"/>
              </w:rPr>
              <w:t>240.000 €</w:t>
            </w:r>
          </w:p>
        </w:tc>
        <w:tc>
          <w:tcPr>
            <w:tcW w:type="dxa" w:w="2268"/>
          </w:tcPr>
          <w:p>
            <w:r>
              <w:rPr>
                <w:rFonts w:ascii="Times New Roman" w:hAnsi="Times New Roman"/>
                <w:sz w:val="20"/>
              </w:rPr>
              <w:t>120.000 €</w:t>
            </w:r>
          </w:p>
        </w:tc>
        <w:tc>
          <w:tcPr>
            <w:tcW w:type="dxa" w:w="2268"/>
          </w:tcPr>
          <w:p>
            <w:r>
              <w:rPr>
                <w:rFonts w:ascii="Times New Roman" w:hAnsi="Times New Roman"/>
                <w:sz w:val="20"/>
              </w:rPr>
              <w:t>LeasingWerk GmbH</w:t>
            </w:r>
          </w:p>
        </w:tc>
      </w:tr>
      <w:tr>
        <w:tc>
          <w:tcPr>
            <w:tcW w:type="dxa" w:w="2268"/>
          </w:tcPr>
          <w:p>
            <w:r>
              <w:rPr>
                <w:rFonts w:ascii="Times New Roman" w:hAnsi="Times New Roman"/>
                <w:sz w:val="20"/>
              </w:rPr>
              <w:t>Brückenkran 15 t (Leasing)</w:t>
            </w:r>
          </w:p>
        </w:tc>
        <w:tc>
          <w:tcPr>
            <w:tcW w:type="dxa" w:w="2268"/>
          </w:tcPr>
          <w:p>
            <w:r>
              <w:rPr>
                <w:rFonts w:ascii="Times New Roman" w:hAnsi="Times New Roman"/>
                <w:sz w:val="20"/>
              </w:rPr>
              <w:t>160.000 €</w:t>
            </w:r>
          </w:p>
        </w:tc>
        <w:tc>
          <w:tcPr>
            <w:tcW w:type="dxa" w:w="2268"/>
          </w:tcPr>
          <w:p>
            <w:r>
              <w:rPr>
                <w:rFonts w:ascii="Times New Roman" w:hAnsi="Times New Roman"/>
                <w:sz w:val="20"/>
              </w:rPr>
              <w:t>80.000 €</w:t>
            </w:r>
          </w:p>
        </w:tc>
        <w:tc>
          <w:tcPr>
            <w:tcW w:type="dxa" w:w="2268"/>
          </w:tcPr>
          <w:p>
            <w:r>
              <w:rPr>
                <w:rFonts w:ascii="Times New Roman" w:hAnsi="Times New Roman"/>
                <w:sz w:val="20"/>
              </w:rPr>
              <w:t>LeasingWerk GmbH</w:t>
            </w:r>
          </w:p>
        </w:tc>
      </w:tr>
    </w:tbl>
    <w:p>
      <w:pPr>
        <w:jc w:val="left"/>
      </w:pPr>
      <w:r>
        <w:t>Die LeasingWerk GmbH ist Eigentümerin der Leasingobjekte und kann diese nach §§ 985, 47 InsO herausverlangen, wenn die Verträge nicht erfüllt werden. Der Fortführungswert der Leasingobjekte spiegelt den Wert für die LeasingWerk GmbH (Alternativvermietung), nicht den Wert für die Schuldnerin (betriebsnotwendig). Für die Fortführung sind beide Objekte unverzichtbar.</w:t>
      </w:r>
    </w:p>
    <w:p/>
    <w:p>
      <w:pPr>
        <w:pStyle w:val="Heading2"/>
      </w:pPr>
      <w:r>
        <w:rPr>
          <w:rFonts w:ascii="Times New Roman" w:hAnsi="Times New Roman"/>
        </w:rPr>
        <w:t>6. Prüfaufträge und offene Punkte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Prüfpunkt</w:t>
            </w:r>
          </w:p>
        </w:tc>
        <w:tc>
          <w:tcPr>
            <w:tcW w:type="dxa" w:w="3024"/>
          </w:tcPr>
          <w:p>
            <w:r>
              <w:rPr>
                <w:rFonts w:ascii="Times New Roman" w:hAnsi="Times New Roman"/>
                <w:b/>
                <w:sz w:val="20"/>
              </w:rPr>
              <w:t>Status</w:t>
            </w:r>
          </w:p>
        </w:tc>
        <w:tc>
          <w:tcPr>
            <w:tcW w:type="dxa" w:w="3024"/>
          </w:tcPr>
          <w:p>
            <w:r>
              <w:rPr>
                <w:rFonts w:ascii="Times New Roman" w:hAnsi="Times New Roman"/>
                <w:b/>
                <w:sz w:val="20"/>
              </w:rPr>
              <w:t>Frist</w:t>
            </w:r>
          </w:p>
        </w:tc>
      </w:tr>
      <w:tr>
        <w:tc>
          <w:tcPr>
            <w:tcW w:type="dxa" w:w="3024"/>
          </w:tcPr>
          <w:p>
            <w:r>
              <w:rPr>
                <w:rFonts w:ascii="Times New Roman" w:hAnsi="Times New Roman"/>
                <w:sz w:val="20"/>
              </w:rPr>
              <w:t>Sicherungsübereignungsvertrag NordBank (Original lesen)</w:t>
            </w:r>
          </w:p>
        </w:tc>
        <w:tc>
          <w:tcPr>
            <w:tcW w:type="dxa" w:w="3024"/>
          </w:tcPr>
          <w:p>
            <w:r>
              <w:rPr>
                <w:rFonts w:ascii="Times New Roman" w:hAnsi="Times New Roman"/>
                <w:sz w:val="20"/>
              </w:rPr>
              <w:t>ausstehend</w:t>
            </w:r>
          </w:p>
        </w:tc>
        <w:tc>
          <w:tcPr>
            <w:tcW w:type="dxa" w:w="3024"/>
          </w:tcPr>
          <w:p>
            <w:r>
              <w:rPr>
                <w:rFonts w:ascii="Times New Roman" w:hAnsi="Times New Roman"/>
                <w:sz w:val="20"/>
              </w:rPr>
              <w:t>10.06.2026</w:t>
            </w:r>
          </w:p>
        </w:tc>
      </w:tr>
      <w:tr>
        <w:tc>
          <w:tcPr>
            <w:tcW w:type="dxa" w:w="3024"/>
          </w:tcPr>
          <w:p>
            <w:r>
              <w:rPr>
                <w:rFonts w:ascii="Times New Roman" w:hAnsi="Times New Roman"/>
                <w:sz w:val="20"/>
              </w:rPr>
              <w:t>Priorität Globalzession vs. verlängerter EV Stahlhandel</w:t>
            </w:r>
          </w:p>
        </w:tc>
        <w:tc>
          <w:tcPr>
            <w:tcW w:type="dxa" w:w="3024"/>
          </w:tcPr>
          <w:p>
            <w:r>
              <w:rPr>
                <w:rFonts w:ascii="Times New Roman" w:hAnsi="Times New Roman"/>
                <w:sz w:val="20"/>
              </w:rPr>
              <w:t>ausstehend</w:t>
            </w:r>
          </w:p>
        </w:tc>
        <w:tc>
          <w:tcPr>
            <w:tcW w:type="dxa" w:w="3024"/>
          </w:tcPr>
          <w:p>
            <w:r>
              <w:rPr>
                <w:rFonts w:ascii="Times New Roman" w:hAnsi="Times New Roman"/>
                <w:sz w:val="20"/>
              </w:rPr>
              <w:t>12.06.2026</w:t>
            </w:r>
          </w:p>
        </w:tc>
      </w:tr>
      <w:tr>
        <w:tc>
          <w:tcPr>
            <w:tcW w:type="dxa" w:w="3024"/>
          </w:tcPr>
          <w:p>
            <w:r>
              <w:rPr>
                <w:rFonts w:ascii="Times New Roman" w:hAnsi="Times New Roman"/>
                <w:sz w:val="20"/>
              </w:rPr>
              <w:t>Aufrechnungslage InfraRail (Vertragsstrafenklausel)</w:t>
            </w:r>
          </w:p>
        </w:tc>
        <w:tc>
          <w:tcPr>
            <w:tcW w:type="dxa" w:w="3024"/>
          </w:tcPr>
          <w:p>
            <w:r>
              <w:rPr>
                <w:rFonts w:ascii="Times New Roman" w:hAnsi="Times New Roman"/>
                <w:sz w:val="20"/>
              </w:rPr>
              <w:t>ausstehend</w:t>
            </w:r>
          </w:p>
        </w:tc>
        <w:tc>
          <w:tcPr>
            <w:tcW w:type="dxa" w:w="3024"/>
          </w:tcPr>
          <w:p>
            <w:r>
              <w:rPr>
                <w:rFonts w:ascii="Times New Roman" w:hAnsi="Times New Roman"/>
                <w:sz w:val="20"/>
              </w:rPr>
              <w:t>12.06.2026</w:t>
            </w:r>
          </w:p>
        </w:tc>
      </w:tr>
      <w:tr>
        <w:tc>
          <w:tcPr>
            <w:tcW w:type="dxa" w:w="3024"/>
          </w:tcPr>
          <w:p>
            <w:r>
              <w:rPr>
                <w:rFonts w:ascii="Times New Roman" w:hAnsi="Times New Roman"/>
                <w:sz w:val="20"/>
              </w:rPr>
              <w:t>Eintragung Sicherungsübereignung im Handelsregister prüfen</w:t>
            </w:r>
          </w:p>
        </w:tc>
        <w:tc>
          <w:tcPr>
            <w:tcW w:type="dxa" w:w="3024"/>
          </w:tcPr>
          <w:p>
            <w:r>
              <w:rPr>
                <w:rFonts w:ascii="Times New Roman" w:hAnsi="Times New Roman"/>
                <w:sz w:val="20"/>
              </w:rPr>
              <w:t>erledigt: nicht eingetragen (formfrei)</w:t>
            </w:r>
          </w:p>
        </w:tc>
        <w:tc>
          <w:tcPr>
            <w:tcW w:type="dxa" w:w="3024"/>
          </w:tcPr>
          <w:p>
            <w:r>
              <w:rPr>
                <w:rFonts w:ascii="Times New Roman" w:hAnsi="Times New Roman"/>
                <w:sz w:val="20"/>
              </w:rPr>
              <w:t>–</w:t>
            </w:r>
          </w:p>
        </w:tc>
      </w:tr>
      <w:tr>
        <w:tc>
          <w:tcPr>
            <w:tcW w:type="dxa" w:w="3024"/>
          </w:tcPr>
          <w:p>
            <w:r>
              <w:rPr>
                <w:rFonts w:ascii="Times New Roman" w:hAnsi="Times New Roman"/>
                <w:sz w:val="20"/>
              </w:rPr>
              <w:t>Gutachten Spindelüberholung CNC Heidenhain</w:t>
            </w:r>
          </w:p>
        </w:tc>
        <w:tc>
          <w:tcPr>
            <w:tcW w:type="dxa" w:w="3024"/>
          </w:tcPr>
          <w:p>
            <w:r>
              <w:rPr>
                <w:rFonts w:ascii="Times New Roman" w:hAnsi="Times New Roman"/>
                <w:sz w:val="20"/>
              </w:rPr>
              <w:t>liegt vor</w:t>
            </w:r>
          </w:p>
        </w:tc>
        <w:tc>
          <w:tcPr>
            <w:tcW w:type="dxa" w:w="3024"/>
          </w:tcPr>
          <w:p>
            <w:r>
              <w:rPr>
                <w:rFonts w:ascii="Times New Roman" w:hAnsi="Times New Roman"/>
                <w:sz w:val="20"/>
              </w:rPr>
              <w:t>–</w:t>
            </w:r>
          </w:p>
        </w:tc>
      </w:tr>
      <w:tr>
        <w:tc>
          <w:tcPr>
            <w:tcW w:type="dxa" w:w="3024"/>
          </w:tcPr>
          <w:p>
            <w:r>
              <w:rPr>
                <w:rFonts w:ascii="Times New Roman" w:hAnsi="Times New Roman"/>
                <w:sz w:val="20"/>
              </w:rPr>
              <w:t>Leasingverträge LeasingWerk auf Verlängerungsoption prüfen</w:t>
            </w:r>
          </w:p>
        </w:tc>
        <w:tc>
          <w:tcPr>
            <w:tcW w:type="dxa" w:w="3024"/>
          </w:tcPr>
          <w:p>
            <w:r>
              <w:rPr>
                <w:rFonts w:ascii="Times New Roman" w:hAnsi="Times New Roman"/>
                <w:sz w:val="20"/>
              </w:rPr>
              <w:t>ausstehend</w:t>
            </w:r>
          </w:p>
        </w:tc>
        <w:tc>
          <w:tcPr>
            <w:tcW w:type="dxa" w:w="3024"/>
          </w:tcPr>
          <w:p>
            <w:r>
              <w:rPr>
                <w:rFonts w:ascii="Times New Roman" w:hAnsi="Times New Roman"/>
                <w:sz w:val="20"/>
              </w:rPr>
              <w:t>10.06.2026</w:t>
            </w:r>
          </w:p>
        </w:tc>
      </w:tr>
    </w:tbl>
    <w:p/>
    <w:p>
      <w:pPr>
        <w:jc w:val="left"/>
      </w:pPr>
      <w:r>
        <w:rPr>
          <w:i/>
        </w:rPr>
        <w:t>Gutachtliche Einschätzung Dipl.-Ing. G. Brandt; ergänzt um rechtliche Anmerkungen RA Dr. Westphal. Nicht testiert. Für Verhandlungszwecke; keine Haftung für Vollstreckung oder Verwertung.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