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Gerichtliche Route – Verfahrenswahl und Prozessablauf</w:t>
      </w:r>
    </w:p>
    <w:p>
      <w:pPr>
        <w:jc w:val="left"/>
      </w:pPr>
      <w:r>
        <w:rPr>
          <w:b/>
        </w:rPr>
        <w:t>Aktenzeichen:</w:t>
      </w:r>
      <w:r>
        <w:t xml:space="preserve"> MH-2026-001</w:t>
      </w:r>
    </w:p>
    <w:p>
      <w:pPr>
        <w:jc w:val="left"/>
      </w:pPr>
      <w:r>
        <w:rPr>
          <w:b/>
        </w:rPr>
        <w:t>Stand:</w:t>
      </w:r>
      <w:r>
        <w:t xml:space="preserve"> 9. Juni 2026</w:t>
      </w:r>
    </w:p>
    <w:p>
      <w:pPr>
        <w:jc w:val="left"/>
      </w:pPr>
      <w:r>
        <w:rPr>
          <w:b/>
        </w:rPr>
        <w:t>Verfasser:</w:t>
      </w:r>
      <w:r>
        <w:t xml:space="preserve"> RA Dr. Karolin Westphal</w:t>
      </w:r>
    </w:p>
    <w:p>
      <w:pPr>
        <w:jc w:val="left"/>
      </w:pPr>
      <w:r>
        <w:rPr>
          <w:b/>
        </w:rPr>
        <w:t>Entscheidungsdatum (geplant):</w:t>
      </w:r>
      <w:r>
        <w:t xml:space="preserve"> 13. Juni 2026 (Mandantengespräch)</w:t>
      </w:r>
    </w:p>
    <w:p/>
    <w:p>
      <w:pPr>
        <w:pStyle w:val="Heading2"/>
      </w:pPr>
      <w:r>
        <w:rPr>
          <w:rFonts w:ascii="Times New Roman" w:hAnsi="Times New Roman"/>
        </w:rPr>
        <w:t>1. Entscheidungsgrundlage und Überblick</w:t>
      </w:r>
    </w:p>
    <w:p>
      <w:pPr>
        <w:jc w:val="left"/>
      </w:pPr>
      <w:r>
        <w:t>Nach Auswertung des 13-Wochen-Liquiditätsstatus, des Überschuldungsstatus und der Ergebnisse des Krisenursachen-Workshops sowie der Gespräche mit der NordBank AG (19. Mai 2026) sind die Verfahrensoptionen wie folgt zu bewerten: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Option A: StaRUG</w:t>
            </w:r>
          </w:p>
        </w:tc>
        <w:tc>
          <w:tcPr>
            <w:tcW w:type="dxa" w:w="2268"/>
          </w:tcPr>
          <w:p>
            <w:r>
              <w:rPr>
                <w:rFonts w:ascii="Times New Roman" w:hAnsi="Times New Roman"/>
                <w:b/>
                <w:sz w:val="20"/>
              </w:rPr>
              <w:t>Option B: InsO Eigenverwaltung</w:t>
            </w:r>
          </w:p>
        </w:tc>
        <w:tc>
          <w:tcPr>
            <w:tcW w:type="dxa" w:w="2268"/>
          </w:tcPr>
          <w:p>
            <w:r>
              <w:rPr>
                <w:rFonts w:ascii="Times New Roman" w:hAnsi="Times New Roman"/>
                <w:b/>
                <w:sz w:val="20"/>
              </w:rPr>
              <w:t>Option C: Regelinsolvenz</w:t>
            </w:r>
          </w:p>
        </w:tc>
      </w:tr>
      <w:tr>
        <w:tc>
          <w:tcPr>
            <w:tcW w:type="dxa" w:w="2268"/>
          </w:tcPr>
          <w:p>
            <w:r>
              <w:rPr>
                <w:rFonts w:ascii="Times New Roman" w:hAnsi="Times New Roman"/>
                <w:sz w:val="20"/>
              </w:rPr>
              <w:t>Voraussetzung</w:t>
            </w:r>
          </w:p>
        </w:tc>
        <w:tc>
          <w:tcPr>
            <w:tcW w:type="dxa" w:w="2268"/>
          </w:tcPr>
          <w:p>
            <w:r>
              <w:rPr>
                <w:rFonts w:ascii="Times New Roman" w:hAnsi="Times New Roman"/>
                <w:sz w:val="20"/>
              </w:rPr>
              <w:t>Keine Zahlungsunfähigkeit</w:t>
            </w:r>
          </w:p>
        </w:tc>
        <w:tc>
          <w:tcPr>
            <w:tcW w:type="dxa" w:w="2268"/>
          </w:tcPr>
          <w:p>
            <w:r>
              <w:rPr>
                <w:rFonts w:ascii="Times New Roman" w:hAnsi="Times New Roman"/>
                <w:sz w:val="20"/>
              </w:rPr>
              <w:t>Vorläufige Zustimmung Sachwalter</w:t>
            </w:r>
          </w:p>
        </w:tc>
        <w:tc>
          <w:tcPr>
            <w:tcW w:type="dxa" w:w="2268"/>
          </w:tcPr>
          <w:p>
            <w:r>
              <w:rPr>
                <w:rFonts w:ascii="Times New Roman" w:hAnsi="Times New Roman"/>
                <w:sz w:val="20"/>
              </w:rPr>
              <w:t>Immer möglich</w:t>
            </w:r>
          </w:p>
        </w:tc>
      </w:tr>
      <w:tr>
        <w:tc>
          <w:tcPr>
            <w:tcW w:type="dxa" w:w="2268"/>
          </w:tcPr>
          <w:p>
            <w:r>
              <w:rPr>
                <w:rFonts w:ascii="Times New Roman" w:hAnsi="Times New Roman"/>
                <w:sz w:val="20"/>
              </w:rPr>
              <w:t>Lohnschutz (Insolvenzgeld)</w:t>
            </w:r>
          </w:p>
        </w:tc>
        <w:tc>
          <w:tcPr>
            <w:tcW w:type="dxa" w:w="2268"/>
          </w:tcPr>
          <w:p>
            <w:r>
              <w:rPr>
                <w:rFonts w:ascii="Times New Roman" w:hAnsi="Times New Roman"/>
                <w:sz w:val="20"/>
              </w:rPr>
              <w:t>Nein</w:t>
            </w:r>
          </w:p>
        </w:tc>
        <w:tc>
          <w:tcPr>
            <w:tcW w:type="dxa" w:w="2268"/>
          </w:tcPr>
          <w:p>
            <w:r>
              <w:rPr>
                <w:rFonts w:ascii="Times New Roman" w:hAnsi="Times New Roman"/>
                <w:sz w:val="20"/>
              </w:rPr>
              <w:t>Ja (3 Monate)</w:t>
            </w:r>
          </w:p>
        </w:tc>
        <w:tc>
          <w:tcPr>
            <w:tcW w:type="dxa" w:w="2268"/>
          </w:tcPr>
          <w:p>
            <w:r>
              <w:rPr>
                <w:rFonts w:ascii="Times New Roman" w:hAnsi="Times New Roman"/>
                <w:sz w:val="20"/>
              </w:rPr>
              <w:t>Ja (3 Monate)</w:t>
            </w:r>
          </w:p>
        </w:tc>
      </w:tr>
      <w:tr>
        <w:tc>
          <w:tcPr>
            <w:tcW w:type="dxa" w:w="2268"/>
          </w:tcPr>
          <w:p>
            <w:r>
              <w:rPr>
                <w:rFonts w:ascii="Times New Roman" w:hAnsi="Times New Roman"/>
                <w:sz w:val="20"/>
              </w:rPr>
              <w:t>Einbeziehung Lieferanten</w:t>
            </w:r>
          </w:p>
        </w:tc>
        <w:tc>
          <w:tcPr>
            <w:tcW w:type="dxa" w:w="2268"/>
          </w:tcPr>
          <w:p>
            <w:r>
              <w:rPr>
                <w:rFonts w:ascii="Times New Roman" w:hAnsi="Times New Roman"/>
                <w:sz w:val="20"/>
              </w:rPr>
              <w:t>Nur wenn freiwillig</w:t>
            </w:r>
          </w:p>
        </w:tc>
        <w:tc>
          <w:tcPr>
            <w:tcW w:type="dxa" w:w="2268"/>
          </w:tcPr>
          <w:p>
            <w:r>
              <w:rPr>
                <w:rFonts w:ascii="Times New Roman" w:hAnsi="Times New Roman"/>
                <w:sz w:val="20"/>
              </w:rPr>
              <w:t>Ja, über Gruppen</w:t>
            </w:r>
          </w:p>
        </w:tc>
        <w:tc>
          <w:tcPr>
            <w:tcW w:type="dxa" w:w="2268"/>
          </w:tcPr>
          <w:p>
            <w:r>
              <w:rPr>
                <w:rFonts w:ascii="Times New Roman" w:hAnsi="Times New Roman"/>
                <w:sz w:val="20"/>
              </w:rPr>
              <w:t>Ja, über Gruppen</w:t>
            </w:r>
          </w:p>
        </w:tc>
      </w:tr>
      <w:tr>
        <w:tc>
          <w:tcPr>
            <w:tcW w:type="dxa" w:w="2268"/>
          </w:tcPr>
          <w:p>
            <w:r>
              <w:rPr>
                <w:rFonts w:ascii="Times New Roman" w:hAnsi="Times New Roman"/>
                <w:sz w:val="20"/>
              </w:rPr>
              <w:t>Cram-Down NordBank</w:t>
            </w:r>
          </w:p>
        </w:tc>
        <w:tc>
          <w:tcPr>
            <w:tcW w:type="dxa" w:w="2268"/>
          </w:tcPr>
          <w:p>
            <w:r>
              <w:rPr>
                <w:rFonts w:ascii="Times New Roman" w:hAnsi="Times New Roman"/>
                <w:sz w:val="20"/>
              </w:rPr>
              <w:t>§ 26 StaRUG</w:t>
            </w:r>
          </w:p>
        </w:tc>
        <w:tc>
          <w:tcPr>
            <w:tcW w:type="dxa" w:w="2268"/>
          </w:tcPr>
          <w:p>
            <w:r>
              <w:rPr>
                <w:rFonts w:ascii="Times New Roman" w:hAnsi="Times New Roman"/>
                <w:sz w:val="20"/>
              </w:rPr>
              <w:t>§ 245 InsO</w:t>
            </w:r>
          </w:p>
        </w:tc>
        <w:tc>
          <w:tcPr>
            <w:tcW w:type="dxa" w:w="2268"/>
          </w:tcPr>
          <w:p>
            <w:r>
              <w:rPr>
                <w:rFonts w:ascii="Times New Roman" w:hAnsi="Times New Roman"/>
                <w:sz w:val="20"/>
              </w:rPr>
              <w:t>Nicht anwendbar</w:t>
            </w:r>
          </w:p>
        </w:tc>
      </w:tr>
      <w:tr>
        <w:tc>
          <w:tcPr>
            <w:tcW w:type="dxa" w:w="2268"/>
          </w:tcPr>
          <w:p>
            <w:r>
              <w:rPr>
                <w:rFonts w:ascii="Times New Roman" w:hAnsi="Times New Roman"/>
                <w:sz w:val="20"/>
              </w:rPr>
              <w:t>Gerichtlicher Schutz</w:t>
            </w:r>
          </w:p>
        </w:tc>
        <w:tc>
          <w:tcPr>
            <w:tcW w:type="dxa" w:w="2268"/>
          </w:tcPr>
          <w:p>
            <w:r>
              <w:rPr>
                <w:rFonts w:ascii="Times New Roman" w:hAnsi="Times New Roman"/>
                <w:sz w:val="20"/>
              </w:rPr>
              <w:t>Stabilisierung § 49 StaRUG</w:t>
            </w:r>
          </w:p>
        </w:tc>
        <w:tc>
          <w:tcPr>
            <w:tcW w:type="dxa" w:w="2268"/>
          </w:tcPr>
          <w:p>
            <w:r>
              <w:rPr>
                <w:rFonts w:ascii="Times New Roman" w:hAnsi="Times New Roman"/>
                <w:sz w:val="20"/>
              </w:rPr>
              <w:t>Automatisch mit Antrag</w:t>
            </w:r>
          </w:p>
        </w:tc>
        <w:tc>
          <w:tcPr>
            <w:tcW w:type="dxa" w:w="2268"/>
          </w:tcPr>
          <w:p>
            <w:r>
              <w:rPr>
                <w:rFonts w:ascii="Times New Roman" w:hAnsi="Times New Roman"/>
                <w:sz w:val="20"/>
              </w:rPr>
              <w:t>Automatisch</w:t>
            </w:r>
          </w:p>
        </w:tc>
      </w:tr>
      <w:tr>
        <w:tc>
          <w:tcPr>
            <w:tcW w:type="dxa" w:w="2268"/>
          </w:tcPr>
          <w:p>
            <w:r>
              <w:rPr>
                <w:rFonts w:ascii="Times New Roman" w:hAnsi="Times New Roman"/>
                <w:sz w:val="20"/>
              </w:rPr>
              <w:t>Öffentlichkeitswirkung</w:t>
            </w:r>
          </w:p>
        </w:tc>
        <w:tc>
          <w:tcPr>
            <w:tcW w:type="dxa" w:w="2268"/>
          </w:tcPr>
          <w:p>
            <w:r>
              <w:rPr>
                <w:rFonts w:ascii="Times New Roman" w:hAnsi="Times New Roman"/>
                <w:sz w:val="20"/>
              </w:rPr>
              <w:t>Gering (kein Insolvenzregister-Eintrag)</w:t>
            </w:r>
          </w:p>
        </w:tc>
        <w:tc>
          <w:tcPr>
            <w:tcW w:type="dxa" w:w="2268"/>
          </w:tcPr>
          <w:p>
            <w:r>
              <w:rPr>
                <w:rFonts w:ascii="Times New Roman" w:hAnsi="Times New Roman"/>
                <w:sz w:val="20"/>
              </w:rPr>
              <w:t>Insolvenzbekanntmachung</w:t>
            </w:r>
          </w:p>
        </w:tc>
        <w:tc>
          <w:tcPr>
            <w:tcW w:type="dxa" w:w="2268"/>
          </w:tcPr>
          <w:p>
            <w:r>
              <w:rPr>
                <w:rFonts w:ascii="Times New Roman" w:hAnsi="Times New Roman"/>
                <w:sz w:val="20"/>
              </w:rPr>
              <w:t>Insolvenzbekanntmachung</w:t>
            </w:r>
          </w:p>
        </w:tc>
      </w:tr>
      <w:tr>
        <w:tc>
          <w:tcPr>
            <w:tcW w:type="dxa" w:w="2268"/>
          </w:tcPr>
          <w:p>
            <w:r>
              <w:rPr>
                <w:rFonts w:ascii="Times New Roman" w:hAnsi="Times New Roman"/>
                <w:sz w:val="20"/>
              </w:rPr>
              <w:t>Zeitbedarf</w:t>
            </w:r>
          </w:p>
        </w:tc>
        <w:tc>
          <w:tcPr>
            <w:tcW w:type="dxa" w:w="2268"/>
          </w:tcPr>
          <w:p>
            <w:r>
              <w:rPr>
                <w:rFonts w:ascii="Times New Roman" w:hAnsi="Times New Roman"/>
                <w:sz w:val="20"/>
              </w:rPr>
              <w:t>3–5 Monate</w:t>
            </w:r>
          </w:p>
        </w:tc>
        <w:tc>
          <w:tcPr>
            <w:tcW w:type="dxa" w:w="2268"/>
          </w:tcPr>
          <w:p>
            <w:r>
              <w:rPr>
                <w:rFonts w:ascii="Times New Roman" w:hAnsi="Times New Roman"/>
                <w:sz w:val="20"/>
              </w:rPr>
              <w:t>6–12 Monate</w:t>
            </w:r>
          </w:p>
        </w:tc>
        <w:tc>
          <w:tcPr>
            <w:tcW w:type="dxa" w:w="2268"/>
          </w:tcPr>
          <w:p>
            <w:r>
              <w:rPr>
                <w:rFonts w:ascii="Times New Roman" w:hAnsi="Times New Roman"/>
                <w:sz w:val="20"/>
              </w:rPr>
              <w:t>12–24 Monate</w:t>
            </w:r>
          </w:p>
        </w:tc>
      </w:tr>
      <w:tr>
        <w:tc>
          <w:tcPr>
            <w:tcW w:type="dxa" w:w="2268"/>
          </w:tcPr>
          <w:p>
            <w:r>
              <w:rPr>
                <w:rFonts w:ascii="Times New Roman" w:hAnsi="Times New Roman"/>
                <w:sz w:val="20"/>
              </w:rPr>
              <w:t>Kosten</w:t>
            </w:r>
          </w:p>
        </w:tc>
        <w:tc>
          <w:tcPr>
            <w:tcW w:type="dxa" w:w="2268"/>
          </w:tcPr>
          <w:p>
            <w:r>
              <w:rPr>
                <w:rFonts w:ascii="Times New Roman" w:hAnsi="Times New Roman"/>
                <w:sz w:val="20"/>
              </w:rPr>
              <w:t>Mittel</w:t>
            </w:r>
          </w:p>
        </w:tc>
        <w:tc>
          <w:tcPr>
            <w:tcW w:type="dxa" w:w="2268"/>
          </w:tcPr>
          <w:p>
            <w:r>
              <w:rPr>
                <w:rFonts w:ascii="Times New Roman" w:hAnsi="Times New Roman"/>
                <w:sz w:val="20"/>
              </w:rPr>
              <w:t>Höher (Sachwalter)</w:t>
            </w:r>
          </w:p>
        </w:tc>
        <w:tc>
          <w:tcPr>
            <w:tcW w:type="dxa" w:w="2268"/>
          </w:tcPr>
          <w:p>
            <w:r>
              <w:rPr>
                <w:rFonts w:ascii="Times New Roman" w:hAnsi="Times New Roman"/>
                <w:sz w:val="20"/>
              </w:rPr>
              <w:t>Höher (IV-Vergütung)</w:t>
            </w:r>
          </w:p>
        </w:tc>
      </w:tr>
    </w:tbl>
    <w:p>
      <w:pPr>
        <w:jc w:val="left"/>
      </w:pPr>
      <w:r>
        <w:rPr>
          <w:b/>
        </w:rPr>
        <w:t>Empfehlung:</w:t>
      </w:r>
      <w:r>
        <w:t xml:space="preserve"> Insolvenzplan in Eigenverwaltung (Option B), begründet wie nachfolgend.</w:t>
      </w:r>
    </w:p>
    <w:p/>
    <w:p>
      <w:pPr>
        <w:pStyle w:val="Heading2"/>
      </w:pPr>
      <w:r>
        <w:rPr>
          <w:rFonts w:ascii="Times New Roman" w:hAnsi="Times New Roman"/>
        </w:rPr>
        <w:t>2. Option A: StaRUG-Restrukturierungsplan</w:t>
      </w:r>
    </w:p>
    <w:p>
      <w:pPr>
        <w:pStyle w:val="Heading3"/>
      </w:pPr>
      <w:r>
        <w:rPr>
          <w:rFonts w:ascii="Times New Roman" w:hAnsi="Times New Roman"/>
        </w:rPr>
        <w:t>2.1 Rechtliche Voraussetzungen</w:t>
      </w:r>
    </w:p>
    <w:p>
      <w:pPr>
        <w:jc w:val="left"/>
      </w:pPr>
      <w:r>
        <w:t>Das StaRUG (Unternehmensstabilisierungs- und -restrukturierungsgesetz, BGBl. I 2020, S. 3256) ermöglicht eine gerichtlich überwachte Sanierung außerhalb des Insolvenzverfahrens. Voraussetzung nach § 29 Abs. 1 StaRUG ist:</w:t>
      </w:r>
    </w:p>
    <w:p>
      <w:pPr>
        <w:pStyle w:val="ListNumber"/>
      </w:pPr>
      <w:r>
        <w:t xml:space="preserve">Die Schuldnerin ist </w:t>
      </w:r>
      <w:r>
        <w:rPr>
          <w:b/>
        </w:rPr>
        <w:t>drohend zahlungsunfähig</w:t>
      </w:r>
      <w:r>
        <w:t xml:space="preserve"> (§ 18 InsO), aber </w:t>
      </w:r>
      <w:r>
        <w:rPr>
          <w:b/>
        </w:rPr>
        <w:t>noch nicht zahlungsunfähig</w:t>
      </w:r>
      <w:r>
        <w:t xml:space="preserve"> (§ 17 InsO) oder </w:t>
      </w:r>
      <w:r>
        <w:rPr>
          <w:b/>
        </w:rPr>
        <w:t>überschuldet</w:t>
      </w:r>
      <w:r>
        <w:t xml:space="preserve"> ohne positive Fortführungsprognose.</w:t>
      </w:r>
    </w:p>
    <w:p>
      <w:pPr>
        <w:pStyle w:val="ListNumber"/>
      </w:pPr>
      <w:r>
        <w:t>Das Restrukturierungsvorhaben ist zur Beseitigung der drohenden Zahlungsunfähigkeit geeignet (§ 29 Abs. 2 StaRUG).</w:t>
      </w:r>
    </w:p>
    <w:p>
      <w:pPr>
        <w:jc w:val="left"/>
      </w:pPr>
      <w:r>
        <w:rPr>
          <w:b/>
        </w:rPr>
        <w:t>Statusprüfung per 9. Juni 2026:</w:t>
      </w:r>
      <w:r>
        <w:t xml:space="preserve"> Die Zahlungsunfähigkeit ist durch die Projektzahlung Elbe Anlagenbau (28. Mai 2026, 380.000 Euro) und die Teilstundung des Finanzamts vorübergehend abgewendet. Der 13-Wochen-Liquiditätsstatus zeigt für KW 28–30 erneut negative Salden (ohne Investor-Tranche). </w:t>
      </w:r>
      <w:r>
        <w:rPr>
          <w:b/>
        </w:rPr>
        <w:t>Zwischenergebnis:</w:t>
      </w:r>
      <w:r>
        <w:t xml:space="preserve"> Drohende Zahlungsunfähigkeit ist gegeben; akute Zahlungsunfähigkeit ist aktuell nicht eingetreten. StaRUG-Option ist zulässig.</w:t>
      </w:r>
    </w:p>
    <w:p>
      <w:pPr>
        <w:pStyle w:val="Heading3"/>
      </w:pPr>
      <w:r>
        <w:rPr>
          <w:rFonts w:ascii="Times New Roman" w:hAnsi="Times New Roman"/>
        </w:rPr>
        <w:t>2.2 Verfahrensschritte StaRUG</w:t>
      </w:r>
    </w:p>
    <w:p>
      <w:pPr>
        <w:jc w:val="left"/>
      </w:pPr>
      <w:r>
        <w:rPr>
          <w:b/>
        </w:rPr>
        <w:t>Schritt 1 – Anzeige des Restrukturierungsvorhabens (§ 31 StaRUG):</w:t>
      </w:r>
    </w:p>
    <w:p>
      <w:pPr>
        <w:jc w:val="left"/>
      </w:pPr>
      <w:r>
        <w:t>Anzeige beim Amtsgericht Hamburg als Restrukturierungsgericht. Zuständig nach § 35 StaRUG: AG Hamburg (Unternehmenssitz). Die Anzeige löst den Restrukturierungsrahmen aus. Die Schuldnerin ist ab diesem Zeitpunkt "Restrukturierungsschuldnerin" und unterliegt den Pflichten nach §§ 32–34 StaRUG.</w:t>
      </w:r>
    </w:p>
    <w:p>
      <w:pPr>
        <w:jc w:val="left"/>
      </w:pPr>
      <w:r>
        <w:rPr>
          <w:b/>
        </w:rPr>
        <w:t>Schritt 2 – Stabilisierungsanordnung (§ 49 StaRUG):</w:t>
      </w:r>
    </w:p>
    <w:p>
      <w:pPr>
        <w:jc w:val="left"/>
      </w:pPr>
      <w:r>
        <w:t>Antrag auf Stabilisierungsanordnung, um NordBank-Vollstreckung zu unterbinden. Voraussetzung: Mehr als die Hälfte der planbetroffenen Gläubiger (gemessen an Stimmrechten) unterstützen das Vorhaben, oder die Anordnung ist zur Wahrung der Verhandlungsgrundlage erforderlich.</w:t>
      </w:r>
    </w:p>
    <w:p>
      <w:pPr>
        <w:jc w:val="left"/>
      </w:pPr>
      <w:r>
        <w:rPr>
          <w:b/>
        </w:rPr>
        <w:t>Schritt 3 – Planabstimmung (§§ 17–21 StaRUG):</w:t>
      </w:r>
    </w:p>
    <w:p>
      <w:pPr>
        <w:jc w:val="left"/>
      </w:pPr>
      <w:r>
        <w:t>Abstimmung in Klassen; 75 % Mehrheit je Klasse erforderlich. Cram-Down nach § 26 StaRUG möglich, wenn: (a) mind. eine Klasse zugestimmt hat, (b) kein Gläubiger schlechter gestellt wird, (c) das Gericht die Mehrheitsentscheidung der zustimmenden Klassen bestätigt.</w:t>
      </w:r>
    </w:p>
    <w:p>
      <w:pPr>
        <w:jc w:val="left"/>
      </w:pPr>
      <w:r>
        <w:rPr>
          <w:b/>
        </w:rPr>
        <w:t>Schritt 4 – Planbestätigung (§ 74 StaRUG):</w:t>
      </w:r>
    </w:p>
    <w:p>
      <w:pPr>
        <w:jc w:val="left"/>
      </w:pPr>
      <w:r>
        <w:t>Das Restrukturierungsgericht bestätigt den Plan; ab Rechtskraft ist der Plan verbindlich.</w:t>
      </w:r>
    </w:p>
    <w:p>
      <w:pPr>
        <w:jc w:val="left"/>
      </w:pPr>
      <w:r>
        <w:rPr>
          <w:b/>
        </w:rPr>
        <w:t>Schritt 5 – Planvollzug:</w:t>
      </w:r>
    </w:p>
    <w:p>
      <w:pPr>
        <w:jc w:val="left"/>
      </w:pPr>
      <w:r>
        <w:t>Keine förmliche Überwachung gesetzlich zwingend; im Plan sollte dennoch eine Monitoring-Regelung aufgenommen werden.</w:t>
      </w:r>
    </w:p>
    <w:p>
      <w:pPr>
        <w:pStyle w:val="Heading3"/>
      </w:pPr>
      <w:r>
        <w:rPr>
          <w:rFonts w:ascii="Times New Roman" w:hAnsi="Times New Roman"/>
        </w:rPr>
        <w:t>2.3 Kritische Würdigung StaRUG</w:t>
      </w:r>
    </w:p>
    <w:p>
      <w:pPr>
        <w:jc w:val="left"/>
      </w:pPr>
      <w:r>
        <w:rPr>
          <w:b/>
        </w:rPr>
        <w:t>Vorteile:</w:t>
      </w:r>
    </w:p>
    <w:p>
      <w:pPr>
        <w:pStyle w:val="ListBullet"/>
      </w:pPr>
      <w:r>
        <w:t>Kein Insolvenzregistereintrag, geringere Öffentlichkeitswirkung.</w:t>
      </w:r>
    </w:p>
    <w:p>
      <w:pPr>
        <w:pStyle w:val="ListBullet"/>
      </w:pPr>
      <w:r>
        <w:t>Kein Insolvenzverwalter; Geschäftsführung bleibt handlungsfähig.</w:t>
      </w:r>
    </w:p>
    <w:p>
      <w:pPr>
        <w:pStyle w:val="ListBullet"/>
      </w:pPr>
      <w:r>
        <w:t>Lieferanten können außergerichtlich eingebunden werden (kein Druck erforderlich).</w:t>
      </w:r>
    </w:p>
    <w:p>
      <w:pPr>
        <w:pStyle w:val="ListBullet"/>
      </w:pPr>
      <w:r>
        <w:t>Zeitbedarf ca. 3–4 Monate (vs. 6–12 Monate Eigenverwaltung).</w:t>
      </w:r>
    </w:p>
    <w:p>
      <w:pPr>
        <w:jc w:val="left"/>
      </w:pPr>
      <w:r>
        <w:rPr>
          <w:b/>
        </w:rPr>
        <w:t>Nachteile:</w:t>
      </w:r>
    </w:p>
    <w:p>
      <w:pPr>
        <w:pStyle w:val="ListBullet"/>
      </w:pPr>
      <w:r>
        <w:t>Kein Insolvenzgeld: Lohnzahlungen für ca. 86 Mitarbeiter (ca. 450.000 Euro/Monat) müssen aus laufenden Mitteln bestritten werden. Bei negativem Liquiditätssaldo in KW 28–30 ist das ein erhebliches Risiko.</w:t>
      </w:r>
    </w:p>
    <w:p>
      <w:pPr>
        <w:pStyle w:val="ListBullet"/>
      </w:pPr>
      <w:r>
        <w:t>Keine automatische Anfechtungssperre: Ein Gläubiger kann weiter pfänden (bis Stabilisierungsanordnung beantragt und erlassen ist).</w:t>
      </w:r>
    </w:p>
    <w:p>
      <w:pPr>
        <w:pStyle w:val="ListBullet"/>
      </w:pPr>
      <w:r>
        <w:t>Lieferanten sind nicht zwingend planbetroffene Gläubiger; ohne freiwillige Einigung kein Schuldenerlass bei Lieferanten.</w:t>
      </w:r>
    </w:p>
    <w:p>
      <w:pPr>
        <w:pStyle w:val="ListBullet"/>
      </w:pPr>
      <w:r>
        <w:t>NordBank-Cram-Down schwieriger: Das StaRUG-Gericht hat enge Prüfungsmaßstäbe; ein Cram-Down gegen die Hausbank ist politisch und rechtlich belastend.</w:t>
      </w:r>
    </w:p>
    <w:p/>
    <w:p>
      <w:pPr>
        <w:pStyle w:val="Heading2"/>
      </w:pPr>
      <w:r>
        <w:rPr>
          <w:rFonts w:ascii="Times New Roman" w:hAnsi="Times New Roman"/>
        </w:rPr>
        <w:t>3. Option B: Insolvenzplan in Eigenverwaltung (§ 270a InsO)</w:t>
      </w:r>
    </w:p>
    <w:p>
      <w:pPr>
        <w:pStyle w:val="Heading3"/>
      </w:pPr>
      <w:r>
        <w:rPr>
          <w:rFonts w:ascii="Times New Roman" w:hAnsi="Times New Roman"/>
        </w:rPr>
        <w:t>3.1 Voraussetzungen Eigenverwaltung</w:t>
      </w:r>
    </w:p>
    <w:p>
      <w:pPr>
        <w:jc w:val="left"/>
      </w:pPr>
      <w:r>
        <w:t>Gemäß § 270 InsO kann das Insolvenzgericht auf Antrag der Schuldnerin anordnen, dass die Schuldnerin die Insolvenzmasse unter Aufsicht des Sachwalters selbst verwaltet. Voraussetzung: keine Umstände bekannt, die erwarten lassen, dass die Eigenverwaltung zu Nachteilen für die Gläubiger führen wird (§ 270 Abs. 2 Nr. 2 InsO i.d.F. des SanInsFoG).</w:t>
      </w:r>
    </w:p>
    <w:p>
      <w:pPr>
        <w:jc w:val="left"/>
      </w:pPr>
      <w:r>
        <w:rPr>
          <w:b/>
        </w:rPr>
        <w:t>Praxis:</w:t>
      </w:r>
      <w:r>
        <w:t xml:space="preserve"> Das AG Hamburg ist bekannt dafür, Eigenverwaltungsanträge bei erfahrener Sanierungsberatung und vorbereiteten Planentwürfen positiv zu bescheiden. Ein vorgelegter Insolvenzplanentwurf stärkt die Eigenverwaltungsaussichten erheblich (§ 270a Abs. 1 S. 2 Nr. 1 InsO).</w:t>
      </w:r>
    </w:p>
    <w:p>
      <w:pPr>
        <w:pStyle w:val="Heading3"/>
      </w:pPr>
      <w:r>
        <w:rPr>
          <w:rFonts w:ascii="Times New Roman" w:hAnsi="Times New Roman"/>
        </w:rPr>
        <w:t>3.2 Verfahrensschritte Eigenverwaltung mit Insolvenzplan</w:t>
      </w:r>
    </w:p>
    <w:p>
      <w:pPr>
        <w:jc w:val="left"/>
      </w:pPr>
      <w:r>
        <w:rPr>
          <w:b/>
        </w:rPr>
        <w:t>Phase 1 – Vorbereitung (bis 16. Juni 2026):</w:t>
      </w:r>
    </w:p>
    <w:p>
      <w:pPr>
        <w:pStyle w:val="ListBullet"/>
      </w:pPr>
      <w:r>
        <w:t>Fertigstellung Planentwurf (darstellender + gestaltender Teil).</w:t>
      </w:r>
    </w:p>
    <w:p>
      <w:pPr>
        <w:pStyle w:val="ListBullet"/>
      </w:pPr>
      <w:r>
        <w:t>Abstimmung mit vorläufigem Sachwalter (Kanzlei Brandt &amp; Söhne).</w:t>
      </w:r>
    </w:p>
    <w:p>
      <w:pPr>
        <w:pStyle w:val="ListBullet"/>
      </w:pPr>
      <w:r>
        <w:t>Einholung Stellungnahme Gläubigerausschuss-Kandidaten.</w:t>
      </w:r>
    </w:p>
    <w:p>
      <w:pPr>
        <w:pStyle w:val="ListBullet"/>
      </w:pPr>
      <w:r>
        <w:t>Aufstellung Massesicherungsplan.</w:t>
      </w:r>
    </w:p>
    <w:p>
      <w:pPr>
        <w:jc w:val="left"/>
      </w:pPr>
      <w:r>
        <w:rPr>
          <w:b/>
        </w:rPr>
        <w:t>Phase 2 – Antragstellung (16. Juni 2026, geplant):</w:t>
      </w:r>
    </w:p>
    <w:p>
      <w:pPr>
        <w:pStyle w:val="ListBullet"/>
      </w:pPr>
      <w:r>
        <w:t>Insolvenzantrag der Schuldnerin (§ 13 InsO).</w:t>
      </w:r>
    </w:p>
    <w:p>
      <w:pPr>
        <w:pStyle w:val="ListBullet"/>
      </w:pPr>
      <w:r>
        <w:t>Antrag auf vorläufige Eigenverwaltung (§ 270a InsO).</w:t>
      </w:r>
    </w:p>
    <w:p>
      <w:pPr>
        <w:pStyle w:val="ListBullet"/>
      </w:pPr>
      <w:r>
        <w:t>Vorlage Insolvenzplanentwurf.</w:t>
      </w:r>
    </w:p>
    <w:p>
      <w:pPr>
        <w:pStyle w:val="ListBullet"/>
      </w:pPr>
      <w:r>
        <w:t>Vorlage 13-Wochen-Liquiditätsplanung, Überschuldungsstatus.</w:t>
      </w:r>
    </w:p>
    <w:p>
      <w:pPr>
        <w:jc w:val="left"/>
      </w:pPr>
      <w:r>
        <w:rPr>
          <w:b/>
        </w:rPr>
        <w:t>Phase 3 – Vorläufiges Verfahren (ca. 4–6 Wochen):</w:t>
      </w:r>
    </w:p>
    <w:p>
      <w:pPr>
        <w:pStyle w:val="ListBullet"/>
      </w:pPr>
      <w:r>
        <w:t>Anordnung vorläufige Eigenverwaltung.</w:t>
      </w:r>
    </w:p>
    <w:p>
      <w:pPr>
        <w:pStyle w:val="ListBullet"/>
      </w:pPr>
      <w:r>
        <w:t>Einsetzung vorläufiger Sachwalter.</w:t>
      </w:r>
    </w:p>
    <w:p>
      <w:pPr>
        <w:pStyle w:val="ListBullet"/>
      </w:pPr>
      <w:r>
        <w:t>Insolvenzgeldzeitraum läuft (Juni, Juli, August 2026).</w:t>
      </w:r>
    </w:p>
    <w:p>
      <w:pPr>
        <w:pStyle w:val="ListBullet"/>
      </w:pPr>
      <w:r>
        <w:t>Aufnahme Investor-Tranche 1 (sofern Plan-Annahme ausreichend sicher).</w:t>
      </w:r>
    </w:p>
    <w:p>
      <w:pPr>
        <w:jc w:val="left"/>
      </w:pPr>
      <w:r>
        <w:rPr>
          <w:b/>
        </w:rPr>
        <w:t>Phase 4 – Eröffnung und Planabstimmung (ca. KW 32–35 2026):</w:t>
      </w:r>
    </w:p>
    <w:p>
      <w:pPr>
        <w:pStyle w:val="ListBullet"/>
      </w:pPr>
      <w:r>
        <w:t>Insolvenzeröffnung (§ 27 InsO).</w:t>
      </w:r>
    </w:p>
    <w:p>
      <w:pPr>
        <w:pStyle w:val="ListBullet"/>
      </w:pPr>
      <w:r>
        <w:t>Forderungsanmeldung (§§ 174 ff. InsO, Prüfungstermin).</w:t>
      </w:r>
    </w:p>
    <w:p>
      <w:pPr>
        <w:pStyle w:val="ListBullet"/>
      </w:pPr>
      <w:r>
        <w:t>Erörterungs- und Abstimmungstermin (§ 236 InsO).</w:t>
      </w:r>
    </w:p>
    <w:p>
      <w:pPr>
        <w:pStyle w:val="ListBullet"/>
      </w:pPr>
      <w:r>
        <w:t>Planbestätigung (§ 248 InsO).</w:t>
      </w:r>
    </w:p>
    <w:p>
      <w:pPr>
        <w:jc w:val="left"/>
      </w:pPr>
      <w:r>
        <w:rPr>
          <w:b/>
        </w:rPr>
        <w:t>Phase 5 – Planvollzug (ab Rechtskraft, voraussichtlich Oktober 2026):</w:t>
      </w:r>
    </w:p>
    <w:p>
      <w:pPr>
        <w:pStyle w:val="ListBullet"/>
      </w:pPr>
      <w:r>
        <w:t>Auszahlung Planquoten aus Investor-Tranche und laufenden Einnahmen.</w:t>
      </w:r>
    </w:p>
    <w:p>
      <w:pPr>
        <w:pStyle w:val="ListBullet"/>
      </w:pPr>
      <w:r>
        <w:t>Treuhänder überwacht 24 Monate.</w:t>
      </w:r>
    </w:p>
    <w:p>
      <w:pPr>
        <w:pStyle w:val="ListBullet"/>
      </w:pPr>
      <w:r>
        <w:t>Planüberwachung bis Oktober 2028.</w:t>
      </w:r>
    </w:p>
    <w:p>
      <w:pPr>
        <w:pStyle w:val="Heading3"/>
      </w:pPr>
      <w:r>
        <w:rPr>
          <w:rFonts w:ascii="Times New Roman" w:hAnsi="Times New Roman"/>
        </w:rPr>
        <w:t>3.3 Kritische Würdigung Eigenverwaltung</w:t>
      </w:r>
    </w:p>
    <w:p>
      <w:pPr>
        <w:jc w:val="left"/>
      </w:pPr>
      <w:r>
        <w:rPr>
          <w:b/>
        </w:rPr>
        <w:t>Vorteile:</w:t>
      </w:r>
    </w:p>
    <w:p>
      <w:pPr>
        <w:pStyle w:val="ListBullet"/>
      </w:pPr>
      <w:r>
        <w:t>Insolvenzgeld sichert Löhne für drei Monate; erhebliche Liquiditätsentlastung (1.350.000 Euro).</w:t>
      </w:r>
    </w:p>
    <w:p>
      <w:pPr>
        <w:pStyle w:val="ListBullet"/>
      </w:pPr>
      <w:r>
        <w:t>Alle Gläubiger werden planmäßig erfasst; kein Einzellieferant kann aus dem Plan herausbrechen.</w:t>
      </w:r>
    </w:p>
    <w:p>
      <w:pPr>
        <w:pStyle w:val="ListBullet"/>
      </w:pPr>
      <w:r>
        <w:t>Anfechtungssperre ab Eröffnung; Vollstreckungsschutz.</w:t>
      </w:r>
    </w:p>
    <w:p>
      <w:pPr>
        <w:pStyle w:val="ListBullet"/>
      </w:pPr>
      <w:r>
        <w:t>Gerichtlich bestätigter Plan hat höchste Bindungswirkung (§ 254 InsO).</w:t>
      </w:r>
    </w:p>
    <w:p>
      <w:pPr>
        <w:jc w:val="left"/>
      </w:pPr>
      <w:r>
        <w:rPr>
          <w:b/>
        </w:rPr>
        <w:t>Nachteile:</w:t>
      </w:r>
    </w:p>
    <w:p>
      <w:pPr>
        <w:pStyle w:val="ListBullet"/>
      </w:pPr>
      <w:r>
        <w:t>Insolvenzbekanntmachung: Kunden, Lieferanten und Mitarbeiter erfahren von der Insolvenz.</w:t>
      </w:r>
    </w:p>
    <w:p>
      <w:pPr>
        <w:pStyle w:val="ListBullet"/>
      </w:pPr>
      <w:r>
        <w:t>Reputationsschaden kurzfristig; einzelne Kunden könnten Aufträge zurückhalten.</w:t>
      </w:r>
    </w:p>
    <w:p>
      <w:pPr>
        <w:pStyle w:val="ListBullet"/>
      </w:pPr>
      <w:r>
        <w:t>Höhere Verfahrenskosten (Sachwalter, Gericht).</w:t>
      </w:r>
    </w:p>
    <w:p>
      <w:pPr>
        <w:pStyle w:val="ListBullet"/>
      </w:pPr>
      <w:r>
        <w:t>Zeitbedarf 6–9 Monate (aber durch vorbereiteten Plan reduziert).</w:t>
      </w:r>
    </w:p>
    <w:p/>
    <w:p>
      <w:pPr>
        <w:pStyle w:val="Heading2"/>
      </w:pPr>
      <w:r>
        <w:rPr>
          <w:rFonts w:ascii="Times New Roman" w:hAnsi="Times New Roman"/>
        </w:rPr>
        <w:t>4. Option C: Regelinsolvenz</w:t>
      </w:r>
    </w:p>
    <w:p>
      <w:pPr>
        <w:jc w:val="left"/>
      </w:pPr>
      <w:r>
        <w:t>Nicht empfohlen. Die Voraussetzungen für Eigenverwaltung sind erfüllt. Eine Regelinsolvenz würde die Geschäftsführung aus der operativen Kontrolle drängen und die Fortführungswahrscheinlichkeit verringern. Sie wird nur als letzter Ausweg diskutiert, falls Eigenverwaltungsantrag abgelehnt wird.</w:t>
      </w:r>
    </w:p>
    <w:p/>
    <w:p>
      <w:pPr>
        <w:pStyle w:val="Heading2"/>
      </w:pPr>
      <w:r>
        <w:rPr>
          <w:rFonts w:ascii="Times New Roman" w:hAnsi="Times New Roman"/>
        </w:rPr>
        <w:t>5. Empfehlung</w:t>
      </w:r>
    </w:p>
    <w:p>
      <w:pPr>
        <w:jc w:val="left"/>
      </w:pPr>
      <w:r>
        <w:rPr>
          <w:b/>
        </w:rPr>
        <w:t>Die Kanzlei empfiehlt Insolvenzplan in Eigenverwaltung (Option B)</w:t>
      </w:r>
      <w:r>
        <w:t>, und zwar aus folgenden Gründen:</w:t>
      </w:r>
    </w:p>
    <w:p>
      <w:pPr>
        <w:pStyle w:val="ListNumber"/>
      </w:pPr>
      <w:r>
        <w:t>Insolvenzgeld sichert ca. 1.350.000 Euro Liquidität und entlastet die Planung in der kritischen Phase KW 28–33.</w:t>
      </w:r>
    </w:p>
    <w:p>
      <w:pPr>
        <w:pStyle w:val="ListNumber"/>
      </w:pPr>
      <w:r>
        <w:t>Alle Gläubiger werden planmäßig erfasst; das Risiko eines Einzelgläubiger-Angriffs ist gebannt.</w:t>
      </w:r>
    </w:p>
    <w:p>
      <w:pPr>
        <w:pStyle w:val="ListNumber"/>
      </w:pPr>
      <w:r>
        <w:t>Bei positiver Vergleichsrechnung ist ein Cram-Down gegen die NordBank AG möglich (§ 245 InsO).</w:t>
      </w:r>
    </w:p>
    <w:p>
      <w:pPr>
        <w:pStyle w:val="ListNumber"/>
      </w:pPr>
      <w:r>
        <w:t>Die Lieferantenbeziehungen können durch transparente Kommunikation gestärkt werden.</w:t>
      </w:r>
    </w:p>
    <w:p>
      <w:pPr>
        <w:pStyle w:val="ListNumber"/>
      </w:pPr>
      <w:r>
        <w:t>Das AG Hamburg kennt Eigenverwaltungsverfahren gut; die Kanzlei Brandt &amp; Söhne als Sachwalter ist erfahren.</w:t>
      </w:r>
    </w:p>
    <w:p>
      <w:pPr>
        <w:jc w:val="left"/>
      </w:pPr>
      <w:r>
        <w:rPr>
          <w:b/>
        </w:rPr>
        <w:t>Bedingung:</w:t>
      </w:r>
      <w:r>
        <w:t xml:space="preserve"> Der Mandant muss sicherstellen, dass bis zum 16. Juni 2026 alle Plan-Unterlagen vollständig sind und der Antrag professionell gestellt wird. Jede Verzögerung erhöht das Risiko erneuter Zahlungsunfähigkeit.</w:t>
      </w:r>
    </w:p>
    <w:p/>
    <w:p>
      <w:pPr>
        <w:jc w:val="left"/>
      </w:pPr>
      <w:r>
        <w:rPr>
          <w:i/>
        </w:rPr>
        <w:t>Mandatsgespräch zur finalen Entscheidung: 13. Juni 2026, 14:00 Uhr, Kanzlei Westphal &amp; Partner.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