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Schuldnerfragebogen – Möbelwerk Havelberg GmbH</w:t>
      </w:r>
    </w:p>
    <w:p>
      <w:pPr>
        <w:ind w:left="567"/>
      </w:pPr>
      <w:r>
        <w:rPr>
          <w:i/>
        </w:rPr>
        <w:t>Amtsgericht Stendal, Az. 7 IN 41/26</w:t>
      </w:r>
    </w:p>
    <w:p>
      <w:pPr>
        <w:ind w:left="567"/>
      </w:pPr>
      <w:r>
        <w:rPr>
          <w:i/>
        </w:rPr>
        <w:t>Ausgefüllt durch: Tim Brauer (Geschäftsführer)</w:t>
      </w:r>
    </w:p>
    <w:p>
      <w:pPr>
        <w:ind w:left="567"/>
      </w:pPr>
      <w:r>
        <w:rPr>
          <w:i/>
        </w:rPr>
        <w:t>Aufnahmedatum: 07.05.2026 (Erstgespräch mit vorläufiger Insolvenzverwalterin Dr. Westphal)</w:t>
      </w:r>
    </w:p>
    <w:p/>
    <w:p>
      <w:pPr>
        <w:pStyle w:val="Heading2"/>
      </w:pPr>
      <w:r>
        <w:rPr>
          <w:rFonts w:ascii="Times New Roman" w:hAnsi="Times New Roman"/>
        </w:rPr>
        <w:t>A. Allgemeine Angaben zum Unternehmen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Angabe</w:t>
            </w:r>
          </w:p>
        </w:tc>
      </w:tr>
      <w:tr>
        <w:tc>
          <w:tcPr>
            <w:tcW w:type="dxa" w:w="4536"/>
          </w:tcPr>
          <w:p>
            <w:r>
              <w:rPr>
                <w:rFonts w:ascii="Times New Roman" w:hAnsi="Times New Roman"/>
                <w:sz w:val="20"/>
              </w:rPr>
              <w:t>Firma</w:t>
            </w:r>
          </w:p>
        </w:tc>
        <w:tc>
          <w:tcPr>
            <w:tcW w:type="dxa" w:w="4536"/>
          </w:tcPr>
          <w:p>
            <w:r>
              <w:rPr>
                <w:rFonts w:ascii="Times New Roman" w:hAnsi="Times New Roman"/>
                <w:sz w:val="20"/>
              </w:rPr>
              <w:t>Möbelwerk Havelberg GmbH</w:t>
            </w:r>
          </w:p>
        </w:tc>
      </w:tr>
      <w:tr>
        <w:tc>
          <w:tcPr>
            <w:tcW w:type="dxa" w:w="4536"/>
          </w:tcPr>
          <w:p>
            <w:r>
              <w:rPr>
                <w:rFonts w:ascii="Times New Roman" w:hAnsi="Times New Roman"/>
                <w:sz w:val="20"/>
              </w:rPr>
              <w:t>Sitz</w:t>
            </w:r>
          </w:p>
        </w:tc>
        <w:tc>
          <w:tcPr>
            <w:tcW w:type="dxa" w:w="4536"/>
          </w:tcPr>
          <w:p>
            <w:r>
              <w:rPr>
                <w:rFonts w:ascii="Times New Roman" w:hAnsi="Times New Roman"/>
                <w:sz w:val="20"/>
              </w:rPr>
              <w:t>Werftstraße 14, 39539 Havelberg</w:t>
            </w:r>
          </w:p>
        </w:tc>
      </w:tr>
      <w:tr>
        <w:tc>
          <w:tcPr>
            <w:tcW w:type="dxa" w:w="4536"/>
          </w:tcPr>
          <w:p>
            <w:r>
              <w:rPr>
                <w:rFonts w:ascii="Times New Roman" w:hAnsi="Times New Roman"/>
                <w:sz w:val="20"/>
              </w:rPr>
              <w:t>Handelsregisternummer</w:t>
            </w:r>
          </w:p>
        </w:tc>
        <w:tc>
          <w:tcPr>
            <w:tcW w:type="dxa" w:w="4536"/>
          </w:tcPr>
          <w:p>
            <w:r>
              <w:rPr>
                <w:rFonts w:ascii="Times New Roman" w:hAnsi="Times New Roman"/>
                <w:sz w:val="20"/>
              </w:rPr>
              <w:t>HRB 18742, AG Stendal</w:t>
            </w:r>
          </w:p>
        </w:tc>
      </w:tr>
      <w:tr>
        <w:tc>
          <w:tcPr>
            <w:tcW w:type="dxa" w:w="4536"/>
          </w:tcPr>
          <w:p>
            <w:r>
              <w:rPr>
                <w:rFonts w:ascii="Times New Roman" w:hAnsi="Times New Roman"/>
                <w:sz w:val="20"/>
              </w:rPr>
              <w:t>Gründungsjahr</w:t>
            </w:r>
          </w:p>
        </w:tc>
        <w:tc>
          <w:tcPr>
            <w:tcW w:type="dxa" w:w="4536"/>
          </w:tcPr>
          <w:p>
            <w:r>
              <w:rPr>
                <w:rFonts w:ascii="Times New Roman" w:hAnsi="Times New Roman"/>
                <w:sz w:val="20"/>
              </w:rPr>
              <w:t>2009</w:t>
            </w:r>
          </w:p>
        </w:tc>
      </w:tr>
      <w:tr>
        <w:tc>
          <w:tcPr>
            <w:tcW w:type="dxa" w:w="4536"/>
          </w:tcPr>
          <w:p>
            <w:r>
              <w:rPr>
                <w:rFonts w:ascii="Times New Roman" w:hAnsi="Times New Roman"/>
                <w:sz w:val="20"/>
              </w:rPr>
              <w:t>Gesellschafter</w:t>
            </w:r>
          </w:p>
        </w:tc>
        <w:tc>
          <w:tcPr>
            <w:tcW w:type="dxa" w:w="4536"/>
          </w:tcPr>
          <w:p>
            <w:r>
              <w:rPr>
                <w:rFonts w:ascii="Times New Roman" w:hAnsi="Times New Roman"/>
                <w:sz w:val="20"/>
              </w:rPr>
              <w:t>Tim Brauer 80 %, Hildegard Schiemann 20 %</w:t>
            </w:r>
          </w:p>
        </w:tc>
      </w:tr>
      <w:tr>
        <w:tc>
          <w:tcPr>
            <w:tcW w:type="dxa" w:w="4536"/>
          </w:tcPr>
          <w:p>
            <w:r>
              <w:rPr>
                <w:rFonts w:ascii="Times New Roman" w:hAnsi="Times New Roman"/>
                <w:sz w:val="20"/>
              </w:rPr>
              <w:t>Geschäftsführer</w:t>
            </w:r>
          </w:p>
        </w:tc>
        <w:tc>
          <w:tcPr>
            <w:tcW w:type="dxa" w:w="4536"/>
          </w:tcPr>
          <w:p>
            <w:r>
              <w:rPr>
                <w:rFonts w:ascii="Times New Roman" w:hAnsi="Times New Roman"/>
                <w:sz w:val="20"/>
              </w:rPr>
              <w:t>Tim Brauer (alleinvertretungsberechtigt)</w:t>
            </w:r>
          </w:p>
        </w:tc>
      </w:tr>
      <w:tr>
        <w:tc>
          <w:tcPr>
            <w:tcW w:type="dxa" w:w="4536"/>
          </w:tcPr>
          <w:p>
            <w:r>
              <w:rPr>
                <w:rFonts w:ascii="Times New Roman" w:hAnsi="Times New Roman"/>
                <w:sz w:val="20"/>
              </w:rPr>
              <w:t>Unternehmensgegenstand</w:t>
            </w:r>
          </w:p>
        </w:tc>
        <w:tc>
          <w:tcPr>
            <w:tcW w:type="dxa" w:w="4536"/>
          </w:tcPr>
          <w:p>
            <w:r>
              <w:rPr>
                <w:rFonts w:ascii="Times New Roman" w:hAnsi="Times New Roman"/>
                <w:sz w:val="20"/>
              </w:rPr>
              <w:t>Herstellung von Objektmöbeln (Hotelzimmer, Pflegeeinrichtungen, Krankenhäuser)</w:t>
            </w:r>
          </w:p>
        </w:tc>
      </w:tr>
      <w:tr>
        <w:tc>
          <w:tcPr>
            <w:tcW w:type="dxa" w:w="4536"/>
          </w:tcPr>
          <w:p>
            <w:r>
              <w:rPr>
                <w:rFonts w:ascii="Times New Roman" w:hAnsi="Times New Roman"/>
                <w:sz w:val="20"/>
              </w:rPr>
              <w:t>Betriebsfläche</w:t>
            </w:r>
          </w:p>
        </w:tc>
        <w:tc>
          <w:tcPr>
            <w:tcW w:type="dxa" w:w="4536"/>
          </w:tcPr>
          <w:p>
            <w:r>
              <w:rPr>
                <w:rFonts w:ascii="Times New Roman" w:hAnsi="Times New Roman"/>
                <w:sz w:val="20"/>
              </w:rPr>
              <w:t>Werftstraße 14: Büro und Halle 1–3 gesamt ca. 4.200 m² (Miete)</w:t>
            </w:r>
          </w:p>
        </w:tc>
      </w:tr>
      <w:tr>
        <w:tc>
          <w:tcPr>
            <w:tcW w:type="dxa" w:w="4536"/>
          </w:tcPr>
          <w:p>
            <w:r>
              <w:rPr>
                <w:rFonts w:ascii="Times New Roman" w:hAnsi="Times New Roman"/>
                <w:sz w:val="20"/>
              </w:rPr>
              <w:t>Letzter gebilligter Jahresabschluss</w:t>
            </w:r>
          </w:p>
        </w:tc>
        <w:tc>
          <w:tcPr>
            <w:tcW w:type="dxa" w:w="4536"/>
          </w:tcPr>
          <w:p>
            <w:r>
              <w:rPr>
                <w:rFonts w:ascii="Times New Roman" w:hAnsi="Times New Roman"/>
                <w:sz w:val="20"/>
              </w:rPr>
              <w:t>31.12.2024 (vorläufig, nicht testiert)</w:t>
            </w:r>
          </w:p>
        </w:tc>
      </w:tr>
    </w:tbl>
    <w:p/>
    <w:p>
      <w:pPr>
        <w:pStyle w:val="Heading2"/>
      </w:pPr>
      <w:r>
        <w:rPr>
          <w:rFonts w:ascii="Times New Roman" w:hAnsi="Times New Roman"/>
        </w:rPr>
        <w:t>B. Beschäftigung und Personal</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Anzahl Arbeitnehmer (Stand 04.05.2026)</w:t>
            </w:r>
          </w:p>
        </w:tc>
        <w:tc>
          <w:tcPr>
            <w:tcW w:type="dxa" w:w="4536"/>
          </w:tcPr>
          <w:p>
            <w:r>
              <w:rPr>
                <w:rFonts w:ascii="Times New Roman" w:hAnsi="Times New Roman"/>
                <w:b/>
                <w:sz w:val="20"/>
              </w:rPr>
              <w:t>38 (davon 4 in Elternzeit, 2 in Kurzarbeit)</w:t>
            </w:r>
          </w:p>
        </w:tc>
      </w:tr>
      <w:tr>
        <w:tc>
          <w:tcPr>
            <w:tcW w:type="dxa" w:w="4536"/>
          </w:tcPr>
          <w:p>
            <w:r>
              <w:rPr>
                <w:rFonts w:ascii="Times New Roman" w:hAnsi="Times New Roman"/>
                <w:sz w:val="20"/>
              </w:rPr>
              <w:t>Lohnzahlungen rückständig seit</w:t>
            </w:r>
          </w:p>
        </w:tc>
        <w:tc>
          <w:tcPr>
            <w:tcW w:type="dxa" w:w="4536"/>
          </w:tcPr>
          <w:p>
            <w:r>
              <w:rPr>
                <w:rFonts w:ascii="Times New Roman" w:hAnsi="Times New Roman"/>
                <w:sz w:val="20"/>
              </w:rPr>
              <w:t>März 2026 (Bruttolohn ca. 118.000 EUR/Monat)</w:t>
            </w:r>
          </w:p>
        </w:tc>
      </w:tr>
      <w:tr>
        <w:tc>
          <w:tcPr>
            <w:tcW w:type="dxa" w:w="4536"/>
          </w:tcPr>
          <w:p>
            <w:r>
              <w:rPr>
                <w:rFonts w:ascii="Times New Roman" w:hAnsi="Times New Roman"/>
                <w:sz w:val="20"/>
              </w:rPr>
              <w:t>Lohnabrechnungen aktuell?</w:t>
            </w:r>
          </w:p>
        </w:tc>
        <w:tc>
          <w:tcPr>
            <w:tcW w:type="dxa" w:w="4536"/>
          </w:tcPr>
          <w:p>
            <w:r>
              <w:rPr>
                <w:rFonts w:ascii="Times New Roman" w:hAnsi="Times New Roman"/>
                <w:sz w:val="20"/>
              </w:rPr>
              <w:t>Ja, bis einschließlich Februar 2026</w:t>
            </w:r>
          </w:p>
        </w:tc>
      </w:tr>
      <w:tr>
        <w:tc>
          <w:tcPr>
            <w:tcW w:type="dxa" w:w="4536"/>
          </w:tcPr>
          <w:p>
            <w:r>
              <w:rPr>
                <w:rFonts w:ascii="Times New Roman" w:hAnsi="Times New Roman"/>
                <w:sz w:val="20"/>
              </w:rPr>
              <w:t>Tarifvertrag</w:t>
            </w:r>
          </w:p>
        </w:tc>
        <w:tc>
          <w:tcPr>
            <w:tcW w:type="dxa" w:w="4536"/>
          </w:tcPr>
          <w:p>
            <w:r>
              <w:rPr>
                <w:rFonts w:ascii="Times New Roman" w:hAnsi="Times New Roman"/>
                <w:sz w:val="20"/>
              </w:rPr>
              <w:t>Nein, individuelle Verträge; orientiert an HolzTarif Sachsen-Anhalt</w:t>
            </w:r>
          </w:p>
        </w:tc>
      </w:tr>
      <w:tr>
        <w:tc>
          <w:tcPr>
            <w:tcW w:type="dxa" w:w="4536"/>
          </w:tcPr>
          <w:p>
            <w:r>
              <w:rPr>
                <w:rFonts w:ascii="Times New Roman" w:hAnsi="Times New Roman"/>
                <w:sz w:val="20"/>
              </w:rPr>
              <w:t>Betriebsrat</w:t>
            </w:r>
          </w:p>
        </w:tc>
        <w:tc>
          <w:tcPr>
            <w:tcW w:type="dxa" w:w="4536"/>
          </w:tcPr>
          <w:p>
            <w:r>
              <w:rPr>
                <w:rFonts w:ascii="Times New Roman" w:hAnsi="Times New Roman"/>
                <w:sz w:val="20"/>
              </w:rPr>
              <w:t>Nein</w:t>
            </w:r>
          </w:p>
        </w:tc>
      </w:tr>
      <w:tr>
        <w:tc>
          <w:tcPr>
            <w:tcW w:type="dxa" w:w="4536"/>
          </w:tcPr>
          <w:p>
            <w:r>
              <w:rPr>
                <w:rFonts w:ascii="Times New Roman" w:hAnsi="Times New Roman"/>
                <w:sz w:val="20"/>
              </w:rPr>
              <w:t>Schlüsselpersonal für Fortführung</w:t>
            </w:r>
          </w:p>
        </w:tc>
        <w:tc>
          <w:tcPr>
            <w:tcW w:type="dxa" w:w="4536"/>
          </w:tcPr>
          <w:p>
            <w:r>
              <w:rPr>
                <w:rFonts w:ascii="Times New Roman" w:hAnsi="Times New Roman"/>
                <w:sz w:val="20"/>
              </w:rPr>
              <w:t>Lea Kruse (Produktionsleitung), Martin Ortner (CNC), Sana Yildiz (Buchhaltung)</w:t>
            </w:r>
          </w:p>
        </w:tc>
      </w:tr>
    </w:tbl>
    <w:p/>
    <w:p>
      <w:pPr>
        <w:pStyle w:val="Heading2"/>
      </w:pPr>
      <w:r>
        <w:rPr>
          <w:rFonts w:ascii="Times New Roman" w:hAnsi="Times New Roman"/>
        </w:rPr>
        <w:t>C. Bankkonten und Zahlungsverkehr</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Bank</w:t>
            </w:r>
          </w:p>
        </w:tc>
        <w:tc>
          <w:tcPr>
            <w:tcW w:type="dxa" w:w="1814"/>
          </w:tcPr>
          <w:p>
            <w:r>
              <w:rPr>
                <w:rFonts w:ascii="Times New Roman" w:hAnsi="Times New Roman"/>
                <w:b/>
                <w:sz w:val="20"/>
              </w:rPr>
              <w:t>IBAN (anonymisiert)</w:t>
            </w:r>
          </w:p>
        </w:tc>
        <w:tc>
          <w:tcPr>
            <w:tcW w:type="dxa" w:w="1814"/>
          </w:tcPr>
          <w:p>
            <w:r>
              <w:rPr>
                <w:rFonts w:ascii="Times New Roman" w:hAnsi="Times New Roman"/>
                <w:b/>
                <w:sz w:val="20"/>
              </w:rPr>
              <w:t>Art</w:t>
            </w:r>
          </w:p>
        </w:tc>
        <w:tc>
          <w:tcPr>
            <w:tcW w:type="dxa" w:w="1814"/>
          </w:tcPr>
          <w:p>
            <w:r>
              <w:rPr>
                <w:rFonts w:ascii="Times New Roman" w:hAnsi="Times New Roman"/>
                <w:b/>
                <w:sz w:val="20"/>
              </w:rPr>
              <w:t>Saldo 04.05.2026</w:t>
            </w:r>
          </w:p>
        </w:tc>
        <w:tc>
          <w:tcPr>
            <w:tcW w:type="dxa" w:w="1814"/>
          </w:tcPr>
          <w:p>
            <w:r>
              <w:rPr>
                <w:rFonts w:ascii="Times New Roman" w:hAnsi="Times New Roman"/>
                <w:b/>
                <w:sz w:val="20"/>
              </w:rPr>
              <w:t>Sicherheiten</w:t>
            </w:r>
          </w:p>
        </w:tc>
      </w:tr>
      <w:tr>
        <w:tc>
          <w:tcPr>
            <w:tcW w:type="dxa" w:w="1814"/>
          </w:tcPr>
          <w:p>
            <w:r>
              <w:rPr>
                <w:rFonts w:ascii="Times New Roman" w:hAnsi="Times New Roman"/>
                <w:sz w:val="20"/>
              </w:rPr>
              <w:t>Havelbank eG</w:t>
            </w:r>
          </w:p>
        </w:tc>
        <w:tc>
          <w:tcPr>
            <w:tcW w:type="dxa" w:w="1814"/>
          </w:tcPr>
          <w:p>
            <w:r>
              <w:rPr>
                <w:rFonts w:ascii="Times New Roman" w:hAnsi="Times New Roman"/>
                <w:sz w:val="20"/>
              </w:rPr>
              <w:t>DE8X XXXX 1234</w:t>
            </w:r>
          </w:p>
        </w:tc>
        <w:tc>
          <w:tcPr>
            <w:tcW w:type="dxa" w:w="1814"/>
          </w:tcPr>
          <w:p>
            <w:r>
              <w:rPr>
                <w:rFonts w:ascii="Times New Roman" w:hAnsi="Times New Roman"/>
                <w:sz w:val="20"/>
              </w:rPr>
              <w:t>Geschäftskonto</w:t>
            </w:r>
          </w:p>
        </w:tc>
        <w:tc>
          <w:tcPr>
            <w:tcW w:type="dxa" w:w="1814"/>
          </w:tcPr>
          <w:p>
            <w:r>
              <w:rPr>
                <w:rFonts w:ascii="Times New Roman" w:hAnsi="Times New Roman"/>
                <w:sz w:val="20"/>
              </w:rPr>
              <w:t>12.880,00 EUR</w:t>
            </w:r>
          </w:p>
        </w:tc>
        <w:tc>
          <w:tcPr>
            <w:tcW w:type="dxa" w:w="1814"/>
          </w:tcPr>
          <w:p>
            <w:r>
              <w:rPr>
                <w:rFonts w:ascii="Times New Roman" w:hAnsi="Times New Roman"/>
                <w:sz w:val="20"/>
              </w:rPr>
              <w:t>Globalzession; Sicherungsübereignung Maschinen</w:t>
            </w:r>
          </w:p>
        </w:tc>
      </w:tr>
      <w:tr>
        <w:tc>
          <w:tcPr>
            <w:tcW w:type="dxa" w:w="1814"/>
          </w:tcPr>
          <w:p>
            <w:r>
              <w:rPr>
                <w:rFonts w:ascii="Times New Roman" w:hAnsi="Times New Roman"/>
                <w:sz w:val="20"/>
              </w:rPr>
              <w:t>Ostmark Sparkasse</w:t>
            </w:r>
          </w:p>
        </w:tc>
        <w:tc>
          <w:tcPr>
            <w:tcW w:type="dxa" w:w="1814"/>
          </w:tcPr>
          <w:p>
            <w:r>
              <w:rPr>
                <w:rFonts w:ascii="Times New Roman" w:hAnsi="Times New Roman"/>
                <w:sz w:val="20"/>
              </w:rPr>
              <w:t>DE4X XXXX 5678</w:t>
            </w:r>
          </w:p>
        </w:tc>
        <w:tc>
          <w:tcPr>
            <w:tcW w:type="dxa" w:w="1814"/>
          </w:tcPr>
          <w:p>
            <w:r>
              <w:rPr>
                <w:rFonts w:ascii="Times New Roman" w:hAnsi="Times New Roman"/>
                <w:sz w:val="20"/>
              </w:rPr>
              <w:t>Betriebsmittelkonto</w:t>
            </w:r>
          </w:p>
        </w:tc>
        <w:tc>
          <w:tcPr>
            <w:tcW w:type="dxa" w:w="1814"/>
          </w:tcPr>
          <w:p>
            <w:r>
              <w:rPr>
                <w:rFonts w:ascii="Times New Roman" w:hAnsi="Times New Roman"/>
                <w:sz w:val="20"/>
              </w:rPr>
              <w:t>6.770,00 EUR</w:t>
            </w:r>
          </w:p>
        </w:tc>
        <w:tc>
          <w:tcPr>
            <w:tcW w:type="dxa" w:w="1814"/>
          </w:tcPr>
          <w:p>
            <w:r>
              <w:rPr>
                <w:rFonts w:ascii="Times New Roman" w:hAnsi="Times New Roman"/>
                <w:sz w:val="20"/>
              </w:rPr>
              <w:t>Pfandrecht Kontoguthaben</w:t>
            </w:r>
          </w:p>
        </w:tc>
      </w:tr>
      <w:tr>
        <w:tc>
          <w:tcPr>
            <w:tcW w:type="dxa" w:w="1814"/>
          </w:tcPr>
          <w:p>
            <w:r>
              <w:rPr>
                <w:rFonts w:ascii="Times New Roman" w:hAnsi="Times New Roman"/>
                <w:sz w:val="20"/>
              </w:rPr>
              <w:t>Barkasse</w:t>
            </w:r>
          </w:p>
        </w:tc>
        <w:tc>
          <w:tcPr>
            <w:tcW w:type="dxa" w:w="1814"/>
          </w:tcPr>
          <w:p>
            <w:r>
              <w:rPr>
                <w:rFonts w:ascii="Times New Roman" w:hAnsi="Times New Roman"/>
                <w:sz w:val="20"/>
              </w:rPr>
              <w:t>–</w:t>
            </w:r>
          </w:p>
        </w:tc>
        <w:tc>
          <w:tcPr>
            <w:tcW w:type="dxa" w:w="1814"/>
          </w:tcPr>
          <w:p>
            <w:r>
              <w:rPr>
                <w:rFonts w:ascii="Times New Roman" w:hAnsi="Times New Roman"/>
                <w:sz w:val="20"/>
              </w:rPr>
              <w:t>Petty Cash</w:t>
            </w:r>
          </w:p>
        </w:tc>
        <w:tc>
          <w:tcPr>
            <w:tcW w:type="dxa" w:w="1814"/>
          </w:tcPr>
          <w:p>
            <w:r>
              <w:rPr>
                <w:rFonts w:ascii="Times New Roman" w:hAnsi="Times New Roman"/>
                <w:sz w:val="20"/>
              </w:rPr>
              <w:t>1.240,00 EUR</w:t>
            </w:r>
          </w:p>
        </w:tc>
        <w:tc>
          <w:tcPr>
            <w:tcW w:type="dxa" w:w="1814"/>
          </w:tcPr>
          <w:p>
            <w:r>
              <w:rPr>
                <w:rFonts w:ascii="Times New Roman" w:hAnsi="Times New Roman"/>
                <w:sz w:val="20"/>
              </w:rPr>
              <w:t>–</w:t>
            </w:r>
          </w:p>
        </w:tc>
      </w:tr>
    </w:tbl>
    <w:p>
      <w:pPr>
        <w:pStyle w:val="ListBullet"/>
      </w:pPr>
      <w:r>
        <w:t>Kontokorrentlinie Havelbank: 250.000 EUR (voll ausgeschöpft)</w:t>
      </w:r>
    </w:p>
    <w:p>
      <w:pPr>
        <w:pStyle w:val="ListBullet"/>
      </w:pPr>
      <w:r>
        <w:t>Darlehen Havelbank: 480.000 EUR Restvaluta per 30.04.2026</w:t>
      </w:r>
    </w:p>
    <w:p>
      <w:pPr>
        <w:pStyle w:val="ListBullet"/>
      </w:pPr>
      <w:r>
        <w:t>Kündigung Kreditlinie durch Havelbank angekündigt, Schreiben vom 28.04.2026</w:t>
      </w:r>
    </w:p>
    <w:p/>
    <w:p>
      <w:pPr>
        <w:pStyle w:val="Heading2"/>
      </w:pPr>
      <w:r>
        <w:rPr>
          <w:rFonts w:ascii="Times New Roman" w:hAnsi="Times New Roman"/>
        </w:rPr>
        <w:t>D. Wichtigste Verbindlichkeiten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Gläubiger</w:t>
            </w:r>
          </w:p>
        </w:tc>
        <w:tc>
          <w:tcPr>
            <w:tcW w:type="dxa" w:w="2268"/>
          </w:tcPr>
          <w:p>
            <w:r>
              <w:rPr>
                <w:rFonts w:ascii="Times New Roman" w:hAnsi="Times New Roman"/>
                <w:b/>
                <w:sz w:val="20"/>
              </w:rPr>
              <w:t>Art</w:t>
            </w:r>
          </w:p>
        </w:tc>
        <w:tc>
          <w:tcPr>
            <w:tcW w:type="dxa" w:w="2268"/>
          </w:tcPr>
          <w:p>
            <w:r>
              <w:rPr>
                <w:rFonts w:ascii="Times New Roman" w:hAnsi="Times New Roman"/>
                <w:b/>
                <w:sz w:val="20"/>
              </w:rPr>
              <w:t>geschätzter Betrag (EUR)</w:t>
            </w:r>
          </w:p>
        </w:tc>
        <w:tc>
          <w:tcPr>
            <w:tcW w:type="dxa" w:w="2268"/>
          </w:tcPr>
          <w:p>
            <w:r>
              <w:rPr>
                <w:rFonts w:ascii="Times New Roman" w:hAnsi="Times New Roman"/>
                <w:b/>
                <w:sz w:val="20"/>
              </w:rPr>
              <w:t>Fälligkeit</w:t>
            </w:r>
          </w:p>
        </w:tc>
      </w:tr>
      <w:tr>
        <w:tc>
          <w:tcPr>
            <w:tcW w:type="dxa" w:w="2268"/>
          </w:tcPr>
          <w:p>
            <w:r>
              <w:rPr>
                <w:rFonts w:ascii="Times New Roman" w:hAnsi="Times New Roman"/>
                <w:sz w:val="20"/>
              </w:rPr>
              <w:t>Havelbank eG</w:t>
            </w:r>
          </w:p>
        </w:tc>
        <w:tc>
          <w:tcPr>
            <w:tcW w:type="dxa" w:w="2268"/>
          </w:tcPr>
          <w:p>
            <w:r>
              <w:rPr>
                <w:rFonts w:ascii="Times New Roman" w:hAnsi="Times New Roman"/>
                <w:sz w:val="20"/>
              </w:rPr>
              <w:t>Darlehen + Kontokorrent</w:t>
            </w:r>
          </w:p>
        </w:tc>
        <w:tc>
          <w:tcPr>
            <w:tcW w:type="dxa" w:w="2268"/>
          </w:tcPr>
          <w:p>
            <w:r>
              <w:rPr>
                <w:rFonts w:ascii="Times New Roman" w:hAnsi="Times New Roman"/>
                <w:sz w:val="20"/>
              </w:rPr>
              <w:t>480.000</w:t>
            </w:r>
          </w:p>
        </w:tc>
        <w:tc>
          <w:tcPr>
            <w:tcW w:type="dxa" w:w="2268"/>
          </w:tcPr>
          <w:p>
            <w:r>
              <w:rPr>
                <w:rFonts w:ascii="Times New Roman" w:hAnsi="Times New Roman"/>
                <w:sz w:val="20"/>
              </w:rPr>
              <w:t>fällig</w:t>
            </w:r>
          </w:p>
        </w:tc>
      </w:tr>
      <w:tr>
        <w:tc>
          <w:tcPr>
            <w:tcW w:type="dxa" w:w="2268"/>
          </w:tcPr>
          <w:p>
            <w:r>
              <w:rPr>
                <w:rFonts w:ascii="Times New Roman" w:hAnsi="Times New Roman"/>
                <w:sz w:val="20"/>
              </w:rPr>
              <w:t>Finanzamt Stendal</w:t>
            </w:r>
          </w:p>
        </w:tc>
        <w:tc>
          <w:tcPr>
            <w:tcW w:type="dxa" w:w="2268"/>
          </w:tcPr>
          <w:p>
            <w:r>
              <w:rPr>
                <w:rFonts w:ascii="Times New Roman" w:hAnsi="Times New Roman"/>
                <w:sz w:val="20"/>
              </w:rPr>
              <w:t>USt + LSt rückständig</w:t>
            </w:r>
          </w:p>
        </w:tc>
        <w:tc>
          <w:tcPr>
            <w:tcW w:type="dxa" w:w="2268"/>
          </w:tcPr>
          <w:p>
            <w:r>
              <w:rPr>
                <w:rFonts w:ascii="Times New Roman" w:hAnsi="Times New Roman"/>
                <w:sz w:val="20"/>
              </w:rPr>
              <w:t>92.340</w:t>
            </w:r>
          </w:p>
        </w:tc>
        <w:tc>
          <w:tcPr>
            <w:tcW w:type="dxa" w:w="2268"/>
          </w:tcPr>
          <w:p>
            <w:r>
              <w:rPr>
                <w:rFonts w:ascii="Times New Roman" w:hAnsi="Times New Roman"/>
                <w:sz w:val="20"/>
              </w:rPr>
              <w:t>März–April 2026</w:t>
            </w:r>
          </w:p>
        </w:tc>
      </w:tr>
      <w:tr>
        <w:tc>
          <w:tcPr>
            <w:tcW w:type="dxa" w:w="2268"/>
          </w:tcPr>
          <w:p>
            <w:r>
              <w:rPr>
                <w:rFonts w:ascii="Times New Roman" w:hAnsi="Times New Roman"/>
                <w:sz w:val="20"/>
              </w:rPr>
              <w:t>AOK Sachsen-Anhalt</w:t>
            </w:r>
          </w:p>
        </w:tc>
        <w:tc>
          <w:tcPr>
            <w:tcW w:type="dxa" w:w="2268"/>
          </w:tcPr>
          <w:p>
            <w:r>
              <w:rPr>
                <w:rFonts w:ascii="Times New Roman" w:hAnsi="Times New Roman"/>
                <w:sz w:val="20"/>
              </w:rPr>
              <w:t>SV-Beiträge</w:t>
            </w:r>
          </w:p>
        </w:tc>
        <w:tc>
          <w:tcPr>
            <w:tcW w:type="dxa" w:w="2268"/>
          </w:tcPr>
          <w:p>
            <w:r>
              <w:rPr>
                <w:rFonts w:ascii="Times New Roman" w:hAnsi="Times New Roman"/>
                <w:sz w:val="20"/>
              </w:rPr>
              <w:t>61.200</w:t>
            </w:r>
          </w:p>
        </w:tc>
        <w:tc>
          <w:tcPr>
            <w:tcW w:type="dxa" w:w="2268"/>
          </w:tcPr>
          <w:p>
            <w:r>
              <w:rPr>
                <w:rFonts w:ascii="Times New Roman" w:hAnsi="Times New Roman"/>
                <w:sz w:val="20"/>
              </w:rPr>
              <w:t>März–April 2026</w:t>
            </w:r>
          </w:p>
        </w:tc>
      </w:tr>
      <w:tr>
        <w:tc>
          <w:tcPr>
            <w:tcW w:type="dxa" w:w="2268"/>
          </w:tcPr>
          <w:p>
            <w:r>
              <w:rPr>
                <w:rFonts w:ascii="Times New Roman" w:hAnsi="Times New Roman"/>
                <w:sz w:val="20"/>
              </w:rPr>
              <w:t>Furnier Nord GmbH</w:t>
            </w:r>
          </w:p>
        </w:tc>
        <w:tc>
          <w:tcPr>
            <w:tcW w:type="dxa" w:w="2268"/>
          </w:tcPr>
          <w:p>
            <w:r>
              <w:rPr>
                <w:rFonts w:ascii="Times New Roman" w:hAnsi="Times New Roman"/>
                <w:sz w:val="20"/>
              </w:rPr>
              <w:t>Warenlieferung</w:t>
            </w:r>
          </w:p>
        </w:tc>
        <w:tc>
          <w:tcPr>
            <w:tcW w:type="dxa" w:w="2268"/>
          </w:tcPr>
          <w:p>
            <w:r>
              <w:rPr>
                <w:rFonts w:ascii="Times New Roman" w:hAnsi="Times New Roman"/>
                <w:sz w:val="20"/>
              </w:rPr>
              <w:t>186.420</w:t>
            </w:r>
          </w:p>
        </w:tc>
        <w:tc>
          <w:tcPr>
            <w:tcW w:type="dxa" w:w="2268"/>
          </w:tcPr>
          <w:p>
            <w:r>
              <w:rPr>
                <w:rFonts w:ascii="Times New Roman" w:hAnsi="Times New Roman"/>
                <w:sz w:val="20"/>
              </w:rPr>
              <w:t>Jan.–März 2026</w:t>
            </w:r>
          </w:p>
        </w:tc>
      </w:tr>
      <w:tr>
        <w:tc>
          <w:tcPr>
            <w:tcW w:type="dxa" w:w="2268"/>
          </w:tcPr>
          <w:p>
            <w:r>
              <w:rPr>
                <w:rFonts w:ascii="Times New Roman" w:hAnsi="Times New Roman"/>
                <w:sz w:val="20"/>
              </w:rPr>
              <w:t>Sonstige Lieferanten (ca. 14)</w:t>
            </w:r>
          </w:p>
        </w:tc>
        <w:tc>
          <w:tcPr>
            <w:tcW w:type="dxa" w:w="2268"/>
          </w:tcPr>
          <w:p>
            <w:r>
              <w:rPr>
                <w:rFonts w:ascii="Times New Roman" w:hAnsi="Times New Roman"/>
                <w:sz w:val="20"/>
              </w:rPr>
              <w:t>Materiallieferungen</w:t>
            </w:r>
          </w:p>
        </w:tc>
        <w:tc>
          <w:tcPr>
            <w:tcW w:type="dxa" w:w="2268"/>
          </w:tcPr>
          <w:p>
            <w:r>
              <w:rPr>
                <w:rFonts w:ascii="Times New Roman" w:hAnsi="Times New Roman"/>
                <w:sz w:val="20"/>
              </w:rPr>
              <w:t>143.200</w:t>
            </w:r>
          </w:p>
        </w:tc>
        <w:tc>
          <w:tcPr>
            <w:tcW w:type="dxa" w:w="2268"/>
          </w:tcPr>
          <w:p>
            <w:r>
              <w:rPr>
                <w:rFonts w:ascii="Times New Roman" w:hAnsi="Times New Roman"/>
                <w:sz w:val="20"/>
              </w:rPr>
              <w:t>Jan.–April 2026</w:t>
            </w:r>
          </w:p>
        </w:tc>
      </w:tr>
      <w:tr>
        <w:tc>
          <w:tcPr>
            <w:tcW w:type="dxa" w:w="2268"/>
          </w:tcPr>
          <w:p>
            <w:r>
              <w:rPr>
                <w:rFonts w:ascii="Times New Roman" w:hAnsi="Times New Roman"/>
                <w:sz w:val="20"/>
              </w:rPr>
              <w:t>Arbeitnehmer (Lohnrückstand)</w:t>
            </w:r>
          </w:p>
        </w:tc>
        <w:tc>
          <w:tcPr>
            <w:tcW w:type="dxa" w:w="2268"/>
          </w:tcPr>
          <w:p>
            <w:r>
              <w:rPr>
                <w:rFonts w:ascii="Times New Roman" w:hAnsi="Times New Roman"/>
                <w:sz w:val="20"/>
              </w:rPr>
              <w:t>2 Monate Lohn</w:t>
            </w:r>
          </w:p>
        </w:tc>
        <w:tc>
          <w:tcPr>
            <w:tcW w:type="dxa" w:w="2268"/>
          </w:tcPr>
          <w:p>
            <w:r>
              <w:rPr>
                <w:rFonts w:ascii="Times New Roman" w:hAnsi="Times New Roman"/>
                <w:sz w:val="20"/>
              </w:rPr>
              <w:t>236.000</w:t>
            </w:r>
          </w:p>
        </w:tc>
        <w:tc>
          <w:tcPr>
            <w:tcW w:type="dxa" w:w="2268"/>
          </w:tcPr>
          <w:p>
            <w:r>
              <w:rPr>
                <w:rFonts w:ascii="Times New Roman" w:hAnsi="Times New Roman"/>
                <w:sz w:val="20"/>
              </w:rPr>
              <w:t>März–April 2026</w:t>
            </w:r>
          </w:p>
        </w:tc>
      </w:tr>
      <w:tr>
        <w:tc>
          <w:tcPr>
            <w:tcW w:type="dxa" w:w="2268"/>
          </w:tcPr>
          <w:p>
            <w:r>
              <w:rPr>
                <w:rFonts w:ascii="Times New Roman" w:hAnsi="Times New Roman"/>
                <w:sz w:val="20"/>
              </w:rPr>
              <w:t>Gesellschafter Tim Brauer</w:t>
            </w:r>
          </w:p>
        </w:tc>
        <w:tc>
          <w:tcPr>
            <w:tcW w:type="dxa" w:w="2268"/>
          </w:tcPr>
          <w:p>
            <w:r>
              <w:rPr>
                <w:rFonts w:ascii="Times New Roman" w:hAnsi="Times New Roman"/>
                <w:sz w:val="20"/>
              </w:rPr>
              <w:t>Gesellschafterdarlehen</w:t>
            </w:r>
          </w:p>
        </w:tc>
        <w:tc>
          <w:tcPr>
            <w:tcW w:type="dxa" w:w="2268"/>
          </w:tcPr>
          <w:p>
            <w:r>
              <w:rPr>
                <w:rFonts w:ascii="Times New Roman" w:hAnsi="Times New Roman"/>
                <w:sz w:val="20"/>
              </w:rPr>
              <w:t>120.000</w:t>
            </w:r>
          </w:p>
        </w:tc>
        <w:tc>
          <w:tcPr>
            <w:tcW w:type="dxa" w:w="2268"/>
          </w:tcPr>
          <w:p>
            <w:r>
              <w:rPr>
                <w:rFonts w:ascii="Times New Roman" w:hAnsi="Times New Roman"/>
                <w:sz w:val="20"/>
              </w:rPr>
              <w:t>nachrangig</w:t>
            </w:r>
          </w:p>
        </w:tc>
      </w:tr>
      <w:tr>
        <w:tc>
          <w:tcPr>
            <w:tcW w:type="dxa" w:w="2268"/>
          </w:tcPr>
          <w:p>
            <w:r>
              <w:rPr>
                <w:rFonts w:ascii="Times New Roman" w:hAnsi="Times New Roman"/>
                <w:sz w:val="20"/>
              </w:rPr>
              <w:t>Mietrückstand Halle</w:t>
            </w:r>
          </w:p>
        </w:tc>
        <w:tc>
          <w:tcPr>
            <w:tcW w:type="dxa" w:w="2268"/>
          </w:tcPr>
          <w:p>
            <w:r>
              <w:rPr>
                <w:rFonts w:ascii="Times New Roman" w:hAnsi="Times New Roman"/>
                <w:sz w:val="20"/>
              </w:rPr>
              <w:t>Vermieter Havelstrom GbR</w:t>
            </w:r>
          </w:p>
        </w:tc>
        <w:tc>
          <w:tcPr>
            <w:tcW w:type="dxa" w:w="2268"/>
          </w:tcPr>
          <w:p>
            <w:r>
              <w:rPr>
                <w:rFonts w:ascii="Times New Roman" w:hAnsi="Times New Roman"/>
                <w:sz w:val="20"/>
              </w:rPr>
              <w:t>36.000</w:t>
            </w:r>
          </w:p>
        </w:tc>
        <w:tc>
          <w:tcPr>
            <w:tcW w:type="dxa" w:w="2268"/>
          </w:tcPr>
          <w:p>
            <w:r>
              <w:rPr>
                <w:rFonts w:ascii="Times New Roman" w:hAnsi="Times New Roman"/>
                <w:sz w:val="20"/>
              </w:rPr>
              <w:t>Feb.–April 2026</w:t>
            </w:r>
          </w:p>
        </w:tc>
      </w:tr>
    </w:tbl>
    <w:p/>
    <w:p>
      <w:pPr>
        <w:pStyle w:val="Heading2"/>
      </w:pPr>
      <w:r>
        <w:rPr>
          <w:rFonts w:ascii="Times New Roman" w:hAnsi="Times New Roman"/>
        </w:rPr>
        <w:t>E. Aktiva und Sicherheiten</w:t>
      </w:r>
    </w:p>
    <w:p>
      <w:pPr>
        <w:pStyle w:val="Heading3"/>
      </w:pPr>
      <w:r>
        <w:rPr>
          <w:rFonts w:ascii="Times New Roman" w:hAnsi="Times New Roman"/>
        </w:rPr>
        <w:t>Maschinen und Anlagen (laut Anlagenverzeichnis)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Asset</w:t>
            </w:r>
          </w:p>
        </w:tc>
        <w:tc>
          <w:tcPr>
            <w:tcW w:type="dxa" w:w="2268"/>
          </w:tcPr>
          <w:p>
            <w:r>
              <w:rPr>
                <w:rFonts w:ascii="Times New Roman" w:hAnsi="Times New Roman"/>
                <w:b/>
                <w:sz w:val="20"/>
              </w:rPr>
              <w:t>Buchwert (EUR)</w:t>
            </w:r>
          </w:p>
        </w:tc>
        <w:tc>
          <w:tcPr>
            <w:tcW w:type="dxa" w:w="2268"/>
          </w:tcPr>
          <w:p>
            <w:r>
              <w:rPr>
                <w:rFonts w:ascii="Times New Roman" w:hAnsi="Times New Roman"/>
                <w:b/>
                <w:sz w:val="20"/>
              </w:rPr>
              <w:t>Erwarteter Erlös (EUR)</w:t>
            </w:r>
          </w:p>
        </w:tc>
        <w:tc>
          <w:tcPr>
            <w:tcW w:type="dxa" w:w="2268"/>
          </w:tcPr>
          <w:p>
            <w:r>
              <w:rPr>
                <w:rFonts w:ascii="Times New Roman" w:hAnsi="Times New Roman"/>
                <w:b/>
                <w:sz w:val="20"/>
              </w:rPr>
              <w:t>Sicherheitenverhältnis</w:t>
            </w:r>
          </w:p>
        </w:tc>
      </w:tr>
      <w:tr>
        <w:tc>
          <w:tcPr>
            <w:tcW w:type="dxa" w:w="2268"/>
          </w:tcPr>
          <w:p>
            <w:r>
              <w:rPr>
                <w:rFonts w:ascii="Times New Roman" w:hAnsi="Times New Roman"/>
                <w:sz w:val="20"/>
              </w:rPr>
              <w:t>CNC-Fräse Homag BMG 612</w:t>
            </w:r>
          </w:p>
        </w:tc>
        <w:tc>
          <w:tcPr>
            <w:tcW w:type="dxa" w:w="2268"/>
          </w:tcPr>
          <w:p>
            <w:r>
              <w:rPr>
                <w:rFonts w:ascii="Times New Roman" w:hAnsi="Times New Roman"/>
                <w:sz w:val="20"/>
              </w:rPr>
              <w:t>210.000</w:t>
            </w:r>
          </w:p>
        </w:tc>
        <w:tc>
          <w:tcPr>
            <w:tcW w:type="dxa" w:w="2268"/>
          </w:tcPr>
          <w:p>
            <w:r>
              <w:rPr>
                <w:rFonts w:ascii="Times New Roman" w:hAnsi="Times New Roman"/>
                <w:sz w:val="20"/>
              </w:rPr>
              <w:t>135.000</w:t>
            </w:r>
          </w:p>
        </w:tc>
        <w:tc>
          <w:tcPr>
            <w:tcW w:type="dxa" w:w="2268"/>
          </w:tcPr>
          <w:p>
            <w:r>
              <w:rPr>
                <w:rFonts w:ascii="Times New Roman" w:hAnsi="Times New Roman"/>
                <w:sz w:val="20"/>
              </w:rPr>
              <w:t>Sicherungsübereignung Havelbank eG</w:t>
            </w:r>
          </w:p>
        </w:tc>
      </w:tr>
      <w:tr>
        <w:tc>
          <w:tcPr>
            <w:tcW w:type="dxa" w:w="2268"/>
          </w:tcPr>
          <w:p>
            <w:r>
              <w:rPr>
                <w:rFonts w:ascii="Times New Roman" w:hAnsi="Times New Roman"/>
                <w:sz w:val="20"/>
              </w:rPr>
              <w:t>Lackierkabine Rippert L80</w:t>
            </w:r>
          </w:p>
        </w:tc>
        <w:tc>
          <w:tcPr>
            <w:tcW w:type="dxa" w:w="2268"/>
          </w:tcPr>
          <w:p>
            <w:r>
              <w:rPr>
                <w:rFonts w:ascii="Times New Roman" w:hAnsi="Times New Roman"/>
                <w:sz w:val="20"/>
              </w:rPr>
              <w:t>82.000</w:t>
            </w:r>
          </w:p>
        </w:tc>
        <w:tc>
          <w:tcPr>
            <w:tcW w:type="dxa" w:w="2268"/>
          </w:tcPr>
          <w:p>
            <w:r>
              <w:rPr>
                <w:rFonts w:ascii="Times New Roman" w:hAnsi="Times New Roman"/>
                <w:sz w:val="20"/>
              </w:rPr>
              <w:t>44.000</w:t>
            </w:r>
          </w:p>
        </w:tc>
        <w:tc>
          <w:tcPr>
            <w:tcW w:type="dxa" w:w="2268"/>
          </w:tcPr>
          <w:p>
            <w:r>
              <w:rPr>
                <w:rFonts w:ascii="Times New Roman" w:hAnsi="Times New Roman"/>
                <w:sz w:val="20"/>
              </w:rPr>
              <w:t>Eigentum lt. Aussage GF frei</w:t>
            </w:r>
          </w:p>
        </w:tc>
      </w:tr>
      <w:tr>
        <w:tc>
          <w:tcPr>
            <w:tcW w:type="dxa" w:w="2268"/>
          </w:tcPr>
          <w:p>
            <w:r>
              <w:rPr>
                <w:rFonts w:ascii="Times New Roman" w:hAnsi="Times New Roman"/>
                <w:sz w:val="20"/>
              </w:rPr>
              <w:t>Transporter MAN TGE 3.180</w:t>
            </w:r>
          </w:p>
        </w:tc>
        <w:tc>
          <w:tcPr>
            <w:tcW w:type="dxa" w:w="2268"/>
          </w:tcPr>
          <w:p>
            <w:r>
              <w:rPr>
                <w:rFonts w:ascii="Times New Roman" w:hAnsi="Times New Roman"/>
                <w:sz w:val="20"/>
              </w:rPr>
              <w:t>31.000</w:t>
            </w:r>
          </w:p>
        </w:tc>
        <w:tc>
          <w:tcPr>
            <w:tcW w:type="dxa" w:w="2268"/>
          </w:tcPr>
          <w:p>
            <w:r>
              <w:rPr>
                <w:rFonts w:ascii="Times New Roman" w:hAnsi="Times New Roman"/>
                <w:sz w:val="20"/>
              </w:rPr>
              <w:t>18.000</w:t>
            </w:r>
          </w:p>
        </w:tc>
        <w:tc>
          <w:tcPr>
            <w:tcW w:type="dxa" w:w="2268"/>
          </w:tcPr>
          <w:p>
            <w:r>
              <w:rPr>
                <w:rFonts w:ascii="Times New Roman" w:hAnsi="Times New Roman"/>
                <w:sz w:val="20"/>
              </w:rPr>
              <w:t>Leasingfinanzierung (streitig)</w:t>
            </w:r>
          </w:p>
        </w:tc>
      </w:tr>
      <w:tr>
        <w:tc>
          <w:tcPr>
            <w:tcW w:type="dxa" w:w="2268"/>
          </w:tcPr>
          <w:p>
            <w:r>
              <w:rPr>
                <w:rFonts w:ascii="Times New Roman" w:hAnsi="Times New Roman"/>
                <w:sz w:val="20"/>
              </w:rPr>
              <w:t>Schleifmaschine Böhler BSM</w:t>
            </w:r>
          </w:p>
        </w:tc>
        <w:tc>
          <w:tcPr>
            <w:tcW w:type="dxa" w:w="2268"/>
          </w:tcPr>
          <w:p>
            <w:r>
              <w:rPr>
                <w:rFonts w:ascii="Times New Roman" w:hAnsi="Times New Roman"/>
                <w:sz w:val="20"/>
              </w:rPr>
              <w:t>14.000</w:t>
            </w:r>
          </w:p>
        </w:tc>
        <w:tc>
          <w:tcPr>
            <w:tcW w:type="dxa" w:w="2268"/>
          </w:tcPr>
          <w:p>
            <w:r>
              <w:rPr>
                <w:rFonts w:ascii="Times New Roman" w:hAnsi="Times New Roman"/>
                <w:sz w:val="20"/>
              </w:rPr>
              <w:t>7.000</w:t>
            </w:r>
          </w:p>
        </w:tc>
        <w:tc>
          <w:tcPr>
            <w:tcW w:type="dxa" w:w="2268"/>
          </w:tcPr>
          <w:p>
            <w:r>
              <w:rPr>
                <w:rFonts w:ascii="Times New Roman" w:hAnsi="Times New Roman"/>
                <w:sz w:val="20"/>
              </w:rPr>
              <w:t>frei</w:t>
            </w:r>
          </w:p>
        </w:tc>
      </w:tr>
      <w:tr>
        <w:tc>
          <w:tcPr>
            <w:tcW w:type="dxa" w:w="2268"/>
          </w:tcPr>
          <w:p>
            <w:r>
              <w:rPr>
                <w:rFonts w:ascii="Times New Roman" w:hAnsi="Times New Roman"/>
                <w:sz w:val="20"/>
              </w:rPr>
              <w:t>Sonstiges Werkzeug/Kleinmasch.</w:t>
            </w:r>
          </w:p>
        </w:tc>
        <w:tc>
          <w:tcPr>
            <w:tcW w:type="dxa" w:w="2268"/>
          </w:tcPr>
          <w:p>
            <w:r>
              <w:rPr>
                <w:rFonts w:ascii="Times New Roman" w:hAnsi="Times New Roman"/>
                <w:sz w:val="20"/>
              </w:rPr>
              <w:t>9.000</w:t>
            </w:r>
          </w:p>
        </w:tc>
        <w:tc>
          <w:tcPr>
            <w:tcW w:type="dxa" w:w="2268"/>
          </w:tcPr>
          <w:p>
            <w:r>
              <w:rPr>
                <w:rFonts w:ascii="Times New Roman" w:hAnsi="Times New Roman"/>
                <w:sz w:val="20"/>
              </w:rPr>
              <w:t>3.500</w:t>
            </w:r>
          </w:p>
        </w:tc>
        <w:tc>
          <w:tcPr>
            <w:tcW w:type="dxa" w:w="2268"/>
          </w:tcPr>
          <w:p>
            <w:r>
              <w:rPr>
                <w:rFonts w:ascii="Times New Roman" w:hAnsi="Times New Roman"/>
                <w:sz w:val="20"/>
              </w:rPr>
              <w:t>frei</w:t>
            </w:r>
          </w:p>
        </w:tc>
      </w:tr>
    </w:tbl>
    <w:p>
      <w:pPr>
        <w:pStyle w:val="Heading3"/>
      </w:pPr>
      <w:r>
        <w:rPr>
          <w:rFonts w:ascii="Times New Roman" w:hAnsi="Times New Roman"/>
        </w:rPr>
        <w:t>Forderungen und Warenlager</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Buchwert (EUR)</w:t>
            </w:r>
          </w:p>
        </w:tc>
        <w:tc>
          <w:tcPr>
            <w:tcW w:type="dxa" w:w="3024"/>
          </w:tcPr>
          <w:p>
            <w:r>
              <w:rPr>
                <w:rFonts w:ascii="Times New Roman" w:hAnsi="Times New Roman"/>
                <w:b/>
                <w:sz w:val="20"/>
              </w:rPr>
              <w:t>Bemerkung</w:t>
            </w:r>
          </w:p>
        </w:tc>
      </w:tr>
      <w:tr>
        <w:tc>
          <w:tcPr>
            <w:tcW w:type="dxa" w:w="3024"/>
          </w:tcPr>
          <w:p>
            <w:r>
              <w:rPr>
                <w:rFonts w:ascii="Times New Roman" w:hAnsi="Times New Roman"/>
                <w:sz w:val="20"/>
              </w:rPr>
              <w:t>Kundenforderungen brutto</w:t>
            </w:r>
          </w:p>
        </w:tc>
        <w:tc>
          <w:tcPr>
            <w:tcW w:type="dxa" w:w="3024"/>
          </w:tcPr>
          <w:p>
            <w:r>
              <w:rPr>
                <w:rFonts w:ascii="Times New Roman" w:hAnsi="Times New Roman"/>
                <w:sz w:val="20"/>
              </w:rPr>
              <w:t>214.000</w:t>
            </w:r>
          </w:p>
        </w:tc>
        <w:tc>
          <w:tcPr>
            <w:tcW w:type="dxa" w:w="3024"/>
          </w:tcPr>
          <w:p>
            <w:r>
              <w:rPr>
                <w:rFonts w:ascii="Times New Roman" w:hAnsi="Times New Roman"/>
                <w:sz w:val="20"/>
              </w:rPr>
              <w:t>davon ca. 42.000 EUR streitig</w:t>
            </w:r>
          </w:p>
        </w:tc>
      </w:tr>
      <w:tr>
        <w:tc>
          <w:tcPr>
            <w:tcW w:type="dxa" w:w="3024"/>
          </w:tcPr>
          <w:p>
            <w:r>
              <w:rPr>
                <w:rFonts w:ascii="Times New Roman" w:hAnsi="Times New Roman"/>
                <w:sz w:val="20"/>
              </w:rPr>
              <w:t>Warenlager Holz/Beschläge</w:t>
            </w:r>
          </w:p>
        </w:tc>
        <w:tc>
          <w:tcPr>
            <w:tcW w:type="dxa" w:w="3024"/>
          </w:tcPr>
          <w:p>
            <w:r>
              <w:rPr>
                <w:rFonts w:ascii="Times New Roman" w:hAnsi="Times New Roman"/>
                <w:sz w:val="20"/>
              </w:rPr>
              <w:t>87.000</w:t>
            </w:r>
          </w:p>
        </w:tc>
        <w:tc>
          <w:tcPr>
            <w:tcW w:type="dxa" w:w="3024"/>
          </w:tcPr>
          <w:p>
            <w:r>
              <w:rPr>
                <w:rFonts w:ascii="Times New Roman" w:hAnsi="Times New Roman"/>
                <w:sz w:val="20"/>
              </w:rPr>
              <w:t>Eigentumsvorbehalte nicht geprüft</w:t>
            </w:r>
          </w:p>
        </w:tc>
      </w:tr>
      <w:tr>
        <w:tc>
          <w:tcPr>
            <w:tcW w:type="dxa" w:w="3024"/>
          </w:tcPr>
          <w:p>
            <w:r>
              <w:rPr>
                <w:rFonts w:ascii="Times New Roman" w:hAnsi="Times New Roman"/>
                <w:sz w:val="20"/>
              </w:rPr>
              <w:t>Halbfertige Erzeugnisse</w:t>
            </w:r>
          </w:p>
        </w:tc>
        <w:tc>
          <w:tcPr>
            <w:tcW w:type="dxa" w:w="3024"/>
          </w:tcPr>
          <w:p>
            <w:r>
              <w:rPr>
                <w:rFonts w:ascii="Times New Roman" w:hAnsi="Times New Roman"/>
                <w:sz w:val="20"/>
              </w:rPr>
              <w:t>63.000</w:t>
            </w:r>
          </w:p>
        </w:tc>
        <w:tc>
          <w:tcPr>
            <w:tcW w:type="dxa" w:w="3024"/>
          </w:tcPr>
          <w:p>
            <w:r>
              <w:rPr>
                <w:rFonts w:ascii="Times New Roman" w:hAnsi="Times New Roman"/>
                <w:sz w:val="20"/>
              </w:rPr>
              <w:t>Pflegeheim Elbaue, Hotel Speicherstadt, Klinikverbund</w:t>
            </w:r>
          </w:p>
        </w:tc>
      </w:tr>
      <w:tr>
        <w:tc>
          <w:tcPr>
            <w:tcW w:type="dxa" w:w="3024"/>
          </w:tcPr>
          <w:p>
            <w:r>
              <w:rPr>
                <w:rFonts w:ascii="Times New Roman" w:hAnsi="Times New Roman"/>
                <w:sz w:val="20"/>
              </w:rPr>
              <w:t>Kautionserstattung Halle</w:t>
            </w:r>
          </w:p>
        </w:tc>
        <w:tc>
          <w:tcPr>
            <w:tcW w:type="dxa" w:w="3024"/>
          </w:tcPr>
          <w:p>
            <w:r>
              <w:rPr>
                <w:rFonts w:ascii="Times New Roman" w:hAnsi="Times New Roman"/>
                <w:sz w:val="20"/>
              </w:rPr>
              <w:t>12.000</w:t>
            </w:r>
          </w:p>
        </w:tc>
        <w:tc>
          <w:tcPr>
            <w:tcW w:type="dxa" w:w="3024"/>
          </w:tcPr>
          <w:p>
            <w:r>
              <w:rPr>
                <w:rFonts w:ascii="Times New Roman" w:hAnsi="Times New Roman"/>
                <w:sz w:val="20"/>
              </w:rPr>
              <w:t>erwartet bei Kündigung</w:t>
            </w:r>
          </w:p>
        </w:tc>
      </w:tr>
    </w:tbl>
    <w:p/>
    <w:p>
      <w:pPr>
        <w:pStyle w:val="Heading2"/>
      </w:pPr>
      <w:r>
        <w:rPr>
          <w:rFonts w:ascii="Times New Roman" w:hAnsi="Times New Roman"/>
        </w:rPr>
        <w:t>F. Buchführung und Bilanz</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Buchhaltung geführt bis</w:t>
            </w:r>
          </w:p>
        </w:tc>
        <w:tc>
          <w:tcPr>
            <w:tcW w:type="dxa" w:w="4536"/>
          </w:tcPr>
          <w:p>
            <w:r>
              <w:rPr>
                <w:rFonts w:ascii="Times New Roman" w:hAnsi="Times New Roman"/>
                <w:b/>
                <w:sz w:val="20"/>
              </w:rPr>
              <w:t>Februar 2026 (Fibu; März/April nur Belege unsortiert)</w:t>
            </w:r>
          </w:p>
        </w:tc>
      </w:tr>
      <w:tr>
        <w:tc>
          <w:tcPr>
            <w:tcW w:type="dxa" w:w="4536"/>
          </w:tcPr>
          <w:p>
            <w:r>
              <w:rPr>
                <w:rFonts w:ascii="Times New Roman" w:hAnsi="Times New Roman"/>
                <w:sz w:val="20"/>
              </w:rPr>
              <w:t>Letzte Betriebswirtschaftliche Auswertung (BWA)</w:t>
            </w:r>
          </w:p>
        </w:tc>
        <w:tc>
          <w:tcPr>
            <w:tcW w:type="dxa" w:w="4536"/>
          </w:tcPr>
          <w:p>
            <w:r>
              <w:rPr>
                <w:rFonts w:ascii="Times New Roman" w:hAnsi="Times New Roman"/>
                <w:sz w:val="20"/>
              </w:rPr>
              <w:t>Januar 2026</w:t>
            </w:r>
          </w:p>
        </w:tc>
      </w:tr>
      <w:tr>
        <w:tc>
          <w:tcPr>
            <w:tcW w:type="dxa" w:w="4536"/>
          </w:tcPr>
          <w:p>
            <w:r>
              <w:rPr>
                <w:rFonts w:ascii="Times New Roman" w:hAnsi="Times New Roman"/>
                <w:sz w:val="20"/>
              </w:rPr>
              <w:t>Jahresabschluss 2024</w:t>
            </w:r>
          </w:p>
        </w:tc>
        <w:tc>
          <w:tcPr>
            <w:tcW w:type="dxa" w:w="4536"/>
          </w:tcPr>
          <w:p>
            <w:r>
              <w:rPr>
                <w:rFonts w:ascii="Times New Roman" w:hAnsi="Times New Roman"/>
                <w:sz w:val="20"/>
              </w:rPr>
              <w:t>vorl. Entwurf, kein Testat</w:t>
            </w:r>
          </w:p>
        </w:tc>
      </w:tr>
      <w:tr>
        <w:tc>
          <w:tcPr>
            <w:tcW w:type="dxa" w:w="4536"/>
          </w:tcPr>
          <w:p>
            <w:r>
              <w:rPr>
                <w:rFonts w:ascii="Times New Roman" w:hAnsi="Times New Roman"/>
                <w:sz w:val="20"/>
              </w:rPr>
              <w:t>Jahresabschluss 2025</w:t>
            </w:r>
          </w:p>
        </w:tc>
        <w:tc>
          <w:tcPr>
            <w:tcW w:type="dxa" w:w="4536"/>
          </w:tcPr>
          <w:p>
            <w:r>
              <w:rPr>
                <w:rFonts w:ascii="Times New Roman" w:hAnsi="Times New Roman"/>
                <w:sz w:val="20"/>
              </w:rPr>
              <w:t>nicht erstellt</w:t>
            </w:r>
          </w:p>
        </w:tc>
      </w:tr>
      <w:tr>
        <w:tc>
          <w:tcPr>
            <w:tcW w:type="dxa" w:w="4536"/>
          </w:tcPr>
          <w:p>
            <w:r>
              <w:rPr>
                <w:rFonts w:ascii="Times New Roman" w:hAnsi="Times New Roman"/>
                <w:sz w:val="20"/>
              </w:rPr>
              <w:t>Steuerberater</w:t>
            </w:r>
          </w:p>
        </w:tc>
        <w:tc>
          <w:tcPr>
            <w:tcW w:type="dxa" w:w="4536"/>
          </w:tcPr>
          <w:p>
            <w:r>
              <w:rPr>
                <w:rFonts w:ascii="Times New Roman" w:hAnsi="Times New Roman"/>
                <w:sz w:val="20"/>
              </w:rPr>
              <w:t>Kanzlei Hellmann &amp; Partner, Stendal, Mandat ruht seit März 2026</w:t>
            </w:r>
          </w:p>
        </w:tc>
      </w:tr>
    </w:tbl>
    <w:p/>
    <w:p>
      <w:pPr>
        <w:pStyle w:val="Heading2"/>
      </w:pPr>
      <w:r>
        <w:rPr>
          <w:rFonts w:ascii="Times New Roman" w:hAnsi="Times New Roman"/>
        </w:rPr>
        <w:t>G. Laufende Aufträge und Kundenbeziehungen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Auftraggeber</w:t>
            </w:r>
          </w:p>
        </w:tc>
        <w:tc>
          <w:tcPr>
            <w:tcW w:type="dxa" w:w="2268"/>
          </w:tcPr>
          <w:p>
            <w:r>
              <w:rPr>
                <w:rFonts w:ascii="Times New Roman" w:hAnsi="Times New Roman"/>
                <w:b/>
                <w:sz w:val="20"/>
              </w:rPr>
              <w:t>Auftragsvolumen (EUR)</w:t>
            </w:r>
          </w:p>
        </w:tc>
        <w:tc>
          <w:tcPr>
            <w:tcW w:type="dxa" w:w="2268"/>
          </w:tcPr>
          <w:p>
            <w:r>
              <w:rPr>
                <w:rFonts w:ascii="Times New Roman" w:hAnsi="Times New Roman"/>
                <w:b/>
                <w:sz w:val="20"/>
              </w:rPr>
              <w:t>Status</w:t>
            </w:r>
          </w:p>
        </w:tc>
        <w:tc>
          <w:tcPr>
            <w:tcW w:type="dxa" w:w="2268"/>
          </w:tcPr>
          <w:p>
            <w:r>
              <w:rPr>
                <w:rFonts w:ascii="Times New Roman" w:hAnsi="Times New Roman"/>
                <w:b/>
                <w:sz w:val="20"/>
              </w:rPr>
              <w:t>Ablieferung</w:t>
            </w:r>
          </w:p>
        </w:tc>
      </w:tr>
      <w:tr>
        <w:tc>
          <w:tcPr>
            <w:tcW w:type="dxa" w:w="2268"/>
          </w:tcPr>
          <w:p>
            <w:r>
              <w:rPr>
                <w:rFonts w:ascii="Times New Roman" w:hAnsi="Times New Roman"/>
                <w:sz w:val="20"/>
              </w:rPr>
              <w:t>Pflegeheim Elbaue, Jerichow</w:t>
            </w:r>
          </w:p>
        </w:tc>
        <w:tc>
          <w:tcPr>
            <w:tcW w:type="dxa" w:w="2268"/>
          </w:tcPr>
          <w:p>
            <w:r>
              <w:rPr>
                <w:rFonts w:ascii="Times New Roman" w:hAnsi="Times New Roman"/>
                <w:sz w:val="20"/>
              </w:rPr>
              <w:t>148.000</w:t>
            </w:r>
          </w:p>
        </w:tc>
        <w:tc>
          <w:tcPr>
            <w:tcW w:type="dxa" w:w="2268"/>
          </w:tcPr>
          <w:p>
            <w:r>
              <w:rPr>
                <w:rFonts w:ascii="Times New Roman" w:hAnsi="Times New Roman"/>
                <w:sz w:val="20"/>
              </w:rPr>
              <w:t>ca. 65 % gefertigt</w:t>
            </w:r>
          </w:p>
        </w:tc>
        <w:tc>
          <w:tcPr>
            <w:tcW w:type="dxa" w:w="2268"/>
          </w:tcPr>
          <w:p>
            <w:r>
              <w:rPr>
                <w:rFonts w:ascii="Times New Roman" w:hAnsi="Times New Roman"/>
                <w:sz w:val="20"/>
              </w:rPr>
              <w:t>30.06.2026</w:t>
            </w:r>
          </w:p>
        </w:tc>
      </w:tr>
      <w:tr>
        <w:tc>
          <w:tcPr>
            <w:tcW w:type="dxa" w:w="2268"/>
          </w:tcPr>
          <w:p>
            <w:r>
              <w:rPr>
                <w:rFonts w:ascii="Times New Roman" w:hAnsi="Times New Roman"/>
                <w:sz w:val="20"/>
              </w:rPr>
              <w:t>Hotel Speicherstadt, Hamburg</w:t>
            </w:r>
          </w:p>
        </w:tc>
        <w:tc>
          <w:tcPr>
            <w:tcW w:type="dxa" w:w="2268"/>
          </w:tcPr>
          <w:p>
            <w:r>
              <w:rPr>
                <w:rFonts w:ascii="Times New Roman" w:hAnsi="Times New Roman"/>
                <w:sz w:val="20"/>
              </w:rPr>
              <w:t>82.000</w:t>
            </w:r>
          </w:p>
        </w:tc>
        <w:tc>
          <w:tcPr>
            <w:tcW w:type="dxa" w:w="2268"/>
          </w:tcPr>
          <w:p>
            <w:r>
              <w:rPr>
                <w:rFonts w:ascii="Times New Roman" w:hAnsi="Times New Roman"/>
                <w:sz w:val="20"/>
              </w:rPr>
              <w:t>ca. 40 % gefertigt</w:t>
            </w:r>
          </w:p>
        </w:tc>
        <w:tc>
          <w:tcPr>
            <w:tcW w:type="dxa" w:w="2268"/>
          </w:tcPr>
          <w:p>
            <w:r>
              <w:rPr>
                <w:rFonts w:ascii="Times New Roman" w:hAnsi="Times New Roman"/>
                <w:sz w:val="20"/>
              </w:rPr>
              <w:t>15.07.2026</w:t>
            </w:r>
          </w:p>
        </w:tc>
      </w:tr>
      <w:tr>
        <w:tc>
          <w:tcPr>
            <w:tcW w:type="dxa" w:w="2268"/>
          </w:tcPr>
          <w:p>
            <w:r>
              <w:rPr>
                <w:rFonts w:ascii="Times New Roman" w:hAnsi="Times New Roman"/>
                <w:sz w:val="20"/>
              </w:rPr>
              <w:t>Klinikverbund Prignitz</w:t>
            </w:r>
          </w:p>
        </w:tc>
        <w:tc>
          <w:tcPr>
            <w:tcW w:type="dxa" w:w="2268"/>
          </w:tcPr>
          <w:p>
            <w:r>
              <w:rPr>
                <w:rFonts w:ascii="Times New Roman" w:hAnsi="Times New Roman"/>
                <w:sz w:val="20"/>
              </w:rPr>
              <w:t>91.000</w:t>
            </w:r>
          </w:p>
        </w:tc>
        <w:tc>
          <w:tcPr>
            <w:tcW w:type="dxa" w:w="2268"/>
          </w:tcPr>
          <w:p>
            <w:r>
              <w:rPr>
                <w:rFonts w:ascii="Times New Roman" w:hAnsi="Times New Roman"/>
                <w:sz w:val="20"/>
              </w:rPr>
              <w:t>Materialeinkauf erfolgt</w:t>
            </w:r>
          </w:p>
        </w:tc>
        <w:tc>
          <w:tcPr>
            <w:tcW w:type="dxa" w:w="2268"/>
          </w:tcPr>
          <w:p>
            <w:r>
              <w:rPr>
                <w:rFonts w:ascii="Times New Roman" w:hAnsi="Times New Roman"/>
                <w:sz w:val="20"/>
              </w:rPr>
              <w:t>31.08.2026</w:t>
            </w:r>
          </w:p>
        </w:tc>
      </w:tr>
    </w:tbl>
    <w:p/>
    <w:p>
      <w:pPr>
        <w:pStyle w:val="Heading2"/>
      </w:pPr>
      <w:r>
        <w:rPr>
          <w:rFonts w:ascii="Times New Roman" w:hAnsi="Times New Roman"/>
        </w:rPr>
        <w:t>H. Mögliche Anfechtungstatbestände / Besondere Ereignisse</w:t>
      </w:r>
    </w:p>
    <w:p>
      <w:pPr>
        <w:jc w:val="left"/>
      </w:pPr>
      <w:r>
        <w:t>Der Geschäftsführer gibt auf Nachfrage an:</w:t>
      </w:r>
    </w:p>
    <w:p>
      <w:pPr>
        <w:pStyle w:val="ListBullet"/>
      </w:pPr>
      <w:r>
        <w:rPr>
          <w:b/>
        </w:rPr>
        <w:t>20.03.2026:</w:t>
      </w:r>
      <w:r>
        <w:t xml:space="preserve"> Zahlung 18.000 EUR an Furnier Nord GmbH (zweite Ratenplanrate nach Mahndruck und Rücklastschrift).</w:t>
      </w:r>
    </w:p>
    <w:p>
      <w:pPr>
        <w:pStyle w:val="ListBullet"/>
      </w:pPr>
      <w:r>
        <w:rPr>
          <w:b/>
        </w:rPr>
        <w:t>02.04.2026:</w:t>
      </w:r>
      <w:r>
        <w:t xml:space="preserve"> Sondertilgung 35.000 EUR an Havelbank eG auf Drängen der Bank nach Androhung sofortiger Kontosperrung.</w:t>
      </w:r>
    </w:p>
    <w:p>
      <w:pPr>
        <w:pStyle w:val="ListBullet"/>
      </w:pPr>
      <w:r>
        <w:rPr>
          <w:b/>
        </w:rPr>
        <w:t>11.04.2026:</w:t>
      </w:r>
      <w:r>
        <w:t xml:space="preserve"> Rückzahlung von 12.500 EUR an Gesellschafter Tim Brauer als Teil-Rückführung eines privaten Darlehens.</w:t>
      </w:r>
    </w:p>
    <w:p>
      <w:pPr>
        <w:pStyle w:val="ListBullet"/>
      </w:pPr>
      <w:r>
        <w:rPr>
          <w:b/>
        </w:rPr>
        <w:t>29.04.2026:</w:t>
      </w:r>
      <w:r>
        <w:t xml:space="preserve"> Zahlung 9.500 EUR an Brauer Holding UG (Managementfee, GF als mittelbarer Begünstigter – eigene Angabe GF).</w:t>
      </w:r>
    </w:p>
    <w:p/>
    <w:p>
      <w:pPr>
        <w:pStyle w:val="Heading2"/>
      </w:pPr>
      <w:r>
        <w:rPr>
          <w:rFonts w:ascii="Times New Roman" w:hAnsi="Times New Roman"/>
        </w:rPr>
        <w:t>I. Angabe zu Eigenverwaltungswunsch</w:t>
      </w:r>
    </w:p>
    <w:p>
      <w:pPr>
        <w:jc w:val="left"/>
      </w:pPr>
      <w:r>
        <w:t>Der Geschäftsführer hat am 05.05.2026 mündlich Interesse an einer Eigenverwaltung geäußert. Der Finanzplan, den er vorlegte, deckt nur die nächsten 10 Tage ab und enthält keine Sanierungsmaßnahmen. Die vorläufige Insolvenzverwalterin wertet diesen als nicht ausreichend im Sinne des § 270a InsO.</w:t>
      </w:r>
    </w:p>
    <w:p/>
    <w:p>
      <w:pPr>
        <w:pStyle w:val="Heading2"/>
      </w:pPr>
      <w:r>
        <w:rPr>
          <w:rFonts w:ascii="Times New Roman" w:hAnsi="Times New Roman"/>
        </w:rPr>
        <w:t>J. Unterschrift</w:t>
      </w:r>
    </w:p>
    <w:p>
      <w:pPr>
        <w:jc w:val="left"/>
      </w:pPr>
      <w:r>
        <w:t>Der Geschäftsführer erklärt, die vorstehenden Angaben nach bestem Wissen und Gewissen gemacht zu haben und sich der strafrechtlichen Folgen unrichtiger Angaben bewusst zu sein (§ 97 InsO).</w:t>
      </w:r>
    </w:p>
    <w:p>
      <w:pPr>
        <w:jc w:val="left"/>
      </w:pPr>
      <w:r>
        <w:t>```</w:t>
      </w:r>
    </w:p>
    <w:p>
      <w:pPr>
        <w:jc w:val="left"/>
      </w:pPr>
      <w:r>
        <w:t>Havelberg, 07.05.2026</w:t>
      </w:r>
    </w:p>
    <w:p>
      <w:pPr>
        <w:jc w:val="left"/>
      </w:pPr>
      <w:r>
        <w:t>Tim Brauer</w:t>
      </w:r>
    </w:p>
    <w:p>
      <w:pPr>
        <w:jc w:val="left"/>
      </w:pPr>
      <w:r>
        <w:t>Geschäftsführer Möbelwerk Havelberg GmbH</w:t>
      </w:r>
    </w:p>
    <w:p>
      <w:pPr>
        <w:jc w:val="left"/>
      </w:pPr>
      <w:r>
        <w:t>```</w:t>
      </w:r>
    </w:p>
    <w:p>
      <w:pPr>
        <w:jc w:val="left"/>
      </w:pPr>
      <w:r>
        <w:t>Aufgenommen durch:</w:t>
      </w:r>
    </w:p>
    <w:p>
      <w:pPr>
        <w:jc w:val="left"/>
      </w:pPr>
      <w:r>
        <w:t>```</w:t>
      </w:r>
    </w:p>
    <w:p>
      <w:pPr>
        <w:jc w:val="left"/>
      </w:pPr>
      <w:r>
        <w:t>Dr. Nora Westphal</w:t>
      </w:r>
    </w:p>
    <w:p>
      <w:pPr>
        <w:jc w:val="left"/>
      </w:pPr>
      <w:r>
        <w:t>Vorläufige Insolvenzverwalterin</w:t>
      </w:r>
    </w:p>
    <w:p>
      <w:pPr>
        <w:jc w:val="left"/>
      </w:pPr>
      <w:r>
        <w: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