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Anlageverzeichnis – Maschinen und Anlagen</w:t>
      </w:r>
    </w:p>
    <w:p>
      <w:pPr>
        <w:ind w:left="567"/>
      </w:pPr>
      <w:r>
        <w:rPr>
          <w:i/>
        </w:rPr>
        <w:t>Amtsgericht Stendal, Az. 7 IN 41/26</w:t>
      </w:r>
    </w:p>
    <w:p>
      <w:pPr>
        <w:ind w:left="567"/>
      </w:pPr>
      <w:r>
        <w:rPr>
          <w:i/>
        </w:rPr>
        <w:t>Schuldnerin: Möbelwerk Havelberg GmbH</w:t>
      </w:r>
    </w:p>
    <w:p>
      <w:pPr>
        <w:ind w:left="567"/>
      </w:pPr>
      <w:r>
        <w:rPr>
          <w:i/>
        </w:rPr>
        <w:t>Aufgestellt: Dr. Nora Westphal, vorläufige Insolvenzverwalterin</w:t>
      </w:r>
    </w:p>
    <w:p>
      <w:pPr>
        <w:ind w:left="567"/>
      </w:pPr>
      <w:r>
        <w:rPr>
          <w:i/>
        </w:rPr>
        <w:t>Stichtag der Aufnahme: 08.05.2026</w:t>
      </w:r>
    </w:p>
    <w:p>
      <w:pPr>
        <w:ind w:left="567"/>
      </w:pPr>
      <w:r>
        <w:rPr>
          <w:i/>
        </w:rPr>
        <w:t>Standort: Werftstraße 14, 39539 Havelberg (Hallen 1–3 sowie Außengelände)</w:t>
      </w:r>
    </w:p>
    <w:p/>
    <w:p>
      <w:pPr>
        <w:pStyle w:val="Heading2"/>
      </w:pPr>
      <w:r>
        <w:rPr>
          <w:rFonts w:ascii="Times New Roman" w:hAnsi="Times New Roman"/>
        </w:rPr>
        <w:t>A. Maschinen und Produktionsanlagen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Hersteller / Modell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Seriennummer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Standort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CNC-Bearbeitungszentrum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Homag BMG 612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2019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HBG-2019-4471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Sehr guter Zustand, Wartung März 2026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Lackierkabine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Rippert L80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RP-16-8833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 (laut GF)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Filtersätze zu erneuern, Wert gemindert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Breitbandschleifmaschine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Böhler BSM-240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BSM-9012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7.000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Schleifbänder altersbedingt abgenutzt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Kantenanleimmaschine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Holzher Sprint 1320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H1320-7721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Neuwertig, Originalverpackung Zubehör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Plattenaufteilsäge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Altendorf F 45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AF45-3341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Sägeblätter erneuerungsbedürftig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Absauganlage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Höcker Polytechnik ACS-180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HPA-2018-1192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1–3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16.000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Zentralanlage, an Gebäude montiert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Kompressor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Kaeser SK 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KSK-7741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Technikraum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M-08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Schweißanlage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Fronius TPS 400i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FR-TPS-9901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Halle 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5.500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907"/>
          </w:tcPr>
          <w:p/>
        </w:tc>
      </w:tr>
    </w:tbl>
    <w:p>
      <w:pPr>
        <w:jc w:val="left"/>
      </w:pPr>
      <w:r>
        <w:rPr>
          <w:b/>
        </w:rPr>
        <w:t>Zwischensumme Maschinen:</w:t>
      </w:r>
      <w:r>
        <w:t xml:space="preserve"> Buchwert </w:t>
      </w:r>
      <w:r>
        <w:rPr>
          <w:b/>
        </w:rPr>
        <w:t>396.700 EUR</w:t>
      </w:r>
      <w:r>
        <w:t xml:space="preserve"> / Erwarteter Erlös </w:t>
      </w:r>
      <w:r>
        <w:rPr>
          <w:b/>
        </w:rPr>
        <w:t>239.700 EUR</w:t>
      </w:r>
    </w:p>
    <w:p/>
    <w:p>
      <w:pPr>
        <w:pStyle w:val="Heading2"/>
      </w:pPr>
      <w:r>
        <w:rPr>
          <w:rFonts w:ascii="Times New Roman" w:hAnsi="Times New Roman"/>
        </w:rPr>
        <w:t>B. Fahrzeuge und Transportmittel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Hersteller / Modell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Zulassungsnummer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Kastenwagen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MAN TGE 3.180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SDL-MH 821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Leasing Würtl-Leasing GmbH (streitig)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Leasingvertrag läuft bis 05/2027; Verwertung nur nach Klärung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Kleintransporter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Volkswagen Crafter 35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SDL-MW 204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7.800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Rost am Unterboden, TÜV 10/2026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Gabelstapler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Still RX 20-16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SÜ Havelbank eG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Elektrostapler, Batterie 80 %</w:t>
            </w:r>
          </w:p>
        </w:tc>
      </w:tr>
    </w:tbl>
    <w:p>
      <w:pPr>
        <w:jc w:val="left"/>
      </w:pPr>
      <w:r>
        <w:rPr>
          <w:b/>
        </w:rPr>
        <w:t>Zwischensumme Fahrzeuge:</w:t>
      </w:r>
      <w:r>
        <w:t xml:space="preserve"> Buchwert </w:t>
      </w:r>
      <w:r>
        <w:rPr>
          <w:b/>
        </w:rPr>
        <w:t>61.500 EUR</w:t>
      </w:r>
      <w:r>
        <w:t xml:space="preserve"> / Erwarteter Erlös </w:t>
      </w:r>
      <w:r>
        <w:rPr>
          <w:b/>
        </w:rPr>
        <w:t>38.300 EUR</w:t>
      </w:r>
    </w:p>
    <w:p/>
    <w:p>
      <w:pPr>
        <w:pStyle w:val="Heading2"/>
      </w:pPr>
      <w:r>
        <w:rPr>
          <w:rFonts w:ascii="Times New Roman" w:hAnsi="Times New Roman"/>
        </w:rPr>
        <w:t>C. Büroausstattung und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Buchwert gesamt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Erwarteter Erlös gesamt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Workstations / PCs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Alter 2–5 Jahre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Server (lokales NAS)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Datensicherung sichergestellt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Büromöbel (Großraum)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Gebrauchtzustand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CAD-Workstation (2×)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Hochwertig, guter Zustand</w:t>
            </w:r>
          </w:p>
        </w:tc>
      </w:tr>
    </w:tbl>
    <w:p>
      <w:pPr>
        <w:jc w:val="left"/>
      </w:pPr>
      <w:r>
        <w:rPr>
          <w:b/>
        </w:rPr>
        <w:t>Zwischensumme Büro/IT:</w:t>
      </w:r>
      <w:r>
        <w:t xml:space="preserve"> Buchwert </w:t>
      </w:r>
      <w:r>
        <w:rPr>
          <w:b/>
        </w:rPr>
        <w:t>38.600 EUR</w:t>
      </w:r>
      <w:r>
        <w:t xml:space="preserve"> / Erwarteter Erlös </w:t>
      </w:r>
      <w:r>
        <w:rPr>
          <w:b/>
        </w:rPr>
        <w:t>11.500 EUR</w:t>
      </w:r>
    </w:p>
    <w:p/>
    <w:p>
      <w:pPr>
        <w:pStyle w:val="Heading2"/>
      </w:pPr>
      <w:r>
        <w:rPr>
          <w:rFonts w:ascii="Times New Roman" w:hAnsi="Times New Roman"/>
        </w:rPr>
        <w:t>D. Gesamtübersicht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Erwarteter Erlös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Sicherungsstatus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Maschinen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396.700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239.700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SÜ Havelbank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Fahrzeuge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Leasing/SÜ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Büro / 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38.600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496.800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289.500</w:t>
            </w:r>
          </w:p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E. Hinweise zur Bewertung und offene Punkte</w:t>
      </w:r>
    </w:p>
    <w:p>
      <w:pPr>
        <w:pStyle w:val="ListNumber"/>
      </w:pPr>
      <w:r>
        <w:rPr>
          <w:b/>
        </w:rPr>
        <w:t>Sicherungsübereignung Havelbank eG:</w:t>
      </w:r>
      <w:r>
        <w:t xml:space="preserve"> Die Havelbank eG behauptet, eine wirksame Sicherungsübereignung an CNC-Fräse (M-01), Kantenanleimmaschine (M-04) und Gabelstapler (F-03) zu haben. Sicherungsübereignungsvertrag vom 14.03.2022 ist beizuziehen und auf Bestimmtheit zu prüfen.</w:t>
      </w:r>
    </w:p>
    <w:p>
      <w:pPr>
        <w:pStyle w:val="ListNumber"/>
      </w:pPr>
      <w:r>
        <w:rPr>
          <w:b/>
        </w:rPr>
        <w:t>Leasing MAN TGE (F-01):</w:t>
      </w:r>
      <w:r>
        <w:t xml:space="preserve"> Würtl-Leasing GmbH hat mit Schreiben vom 05.05.2026 den Herausgabeanspruch angemeldet. Es ist zu prüfen, ob der Leasingvertrag wirksam ist und ob das wirtschaftliche Eigentum beim Leasinggeber liegt. Verwertung vorläufig ausgesetzt.</w:t>
      </w:r>
    </w:p>
    <w:p>
      <w:pPr>
        <w:pStyle w:val="ListNumber"/>
      </w:pPr>
      <w:r>
        <w:rPr>
          <w:b/>
        </w:rPr>
        <w:t>Eigentumsvorbehalte Lieferanten:</w:t>
      </w:r>
      <w:r>
        <w:t xml:space="preserve"> Holzlieferant Prignitz Forst KG behauptet verlängerten Eigentumsvorbehalt am Warenlager. Prüfung ausstehend, daher Warenlager hier nicht als freie Masse ausgewiesen (→ gesonderte Liste Eigentumsvorbehalte).</w:t>
      </w:r>
    </w:p>
    <w:p>
      <w:pPr>
        <w:pStyle w:val="ListNumber"/>
      </w:pPr>
      <w:r>
        <w:rPr>
          <w:b/>
        </w:rPr>
        <w:t>Gutachter:</w:t>
      </w:r>
      <w:r>
        <w:t xml:space="preserve"> Ein Maschinenbewerter (Dipl.-Ing. Karlheinz Schütte, öbv Sachverständiger) wurde für die Bewertung der Hauptmaschinen beauftragt. Gutachten erwartet bis 25.05.2026.</w:t>
      </w:r>
    </w:p>
    <w:p>
      <w:pPr>
        <w:pStyle w:val="ListNumber"/>
      </w:pPr>
      <w:r>
        <w:rPr>
          <w:b/>
        </w:rPr>
        <w:t>Immobilien:</w:t>
      </w:r>
      <w:r>
        <w:t xml:space="preserve"> Die Schuldnerin ist Mieterin; kein Grundbesitz. Kautionsrückzahlungsanspruch (ca. 12.000 EUR) ist als Forderung zu aktivieren.</w:t>
      </w:r>
    </w:p>
    <w:p/>
    <w:p>
      <w:pPr>
        <w:jc w:val="left"/>
      </w:pPr>
      <w:r>
        <w:rPr>
          <w:i/>
        </w:rPr>
        <w:t>Aufgestellt: Dr. Nora Westphal, Magdeburg, 08.05.2026</w:t>
      </w:r>
    </w:p>
    <w:p>
      <w:pPr>
        <w:jc w:val="left"/>
      </w:pPr>
      <w:r>
        <w:rPr>
          <w:i/>
        </w:rPr>
        <w:t>Anlagen: Maschinenliste aus Schuldnerfragebogen (Anlage 2), Sicherungsübereignungsvertrag Havelbank (Anlage 3)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