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Kassensturz und Betriebsfortführungsanalyse</w:t>
      </w:r>
    </w:p>
    <w:p>
      <w:pPr>
        <w:ind w:left="567"/>
      </w:pPr>
      <w:r>
        <w:rPr>
          <w:i/>
        </w:rPr>
        <w:t>Amtsgericht Stendal, Az. 7 IN 41/26</w:t>
      </w:r>
    </w:p>
    <w:p>
      <w:pPr>
        <w:ind w:left="567"/>
      </w:pPr>
      <w:r>
        <w:rPr>
          <w:i/>
        </w:rPr>
        <w:t>Verfasserin: Dr. Nora Westphal, vorläufige Insolvenzverwalterin</w:t>
      </w:r>
    </w:p>
    <w:p>
      <w:pPr>
        <w:ind w:left="567"/>
      </w:pPr>
      <w:r>
        <w:rPr>
          <w:i/>
        </w:rPr>
        <w:t>Datum: 07.–09.05.2026</w:t>
      </w:r>
    </w:p>
    <w:p/>
    <w:p>
      <w:pPr>
        <w:pStyle w:val="Heading2"/>
      </w:pPr>
      <w:r>
        <w:rPr>
          <w:rFonts w:ascii="Times New Roman" w:hAnsi="Times New Roman"/>
        </w:rPr>
        <w:t>A. Kassensturz – Stichtag 07.05.2026</w:t>
      </w:r>
    </w:p>
    <w:p>
      <w:pPr>
        <w:pStyle w:val="Heading3"/>
      </w:pPr>
      <w:r>
        <w:rPr>
          <w:rFonts w:ascii="Times New Roman" w:hAnsi="Times New Roman"/>
        </w:rPr>
        <w:t>Barmittel und Bankguthaben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Barkasse Büro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1.240,00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Kassenbestand gezählt, quittiert durch GF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Havelbank eG – Geschäftskonto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12.880,00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Online-Banking-Einsicht 07.05.2026, 09:12 Uhr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Ostmark Sparkasse – Betriebsmittelkonto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6.770,00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Online-Banking-Einsicht 07.05.2026, 09:20 Uhr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verfügbare Liquidität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20.890,00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>Die Konten wurden mit Bestellung der vorläufigen Insolvenzverwalterin eingefroren (Mitteilung an beide Banken per Fax und E-Mail am 06.05.2026, 16:30 Uhr). Neue Verfügungen werden nur nach Zustimmung der vorläufigen Insolvenzverwalterin ausgeführt.</w:t>
      </w:r>
    </w:p>
    <w:p>
      <w:pPr>
        <w:pStyle w:val="Heading3"/>
      </w:pPr>
      <w:r>
        <w:rPr>
          <w:rFonts w:ascii="Times New Roman" w:hAnsi="Times New Roman"/>
        </w:rPr>
        <w:t>Offene Kundenforderungen (kurzfristig realisierbar)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Debitor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Rechnungsnr.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Fälligkeit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Pflegeheim Elbaue, Jerichow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AHB-2026-0118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überfällig, telefonisch zugesagt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Hotel Speicherstadt, Hamburg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AHB-2026-0099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19.200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überfällig, Zahlung angekündigt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Klinikverbund Prignitz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AHB-2026-0131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34.300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noch nicht fällig, Bonitätsbewertung gut</w:t>
            </w:r>
          </w:p>
        </w:tc>
      </w:tr>
    </w:tbl>
    <w:p>
      <w:pPr>
        <w:jc w:val="left"/>
      </w:pPr>
      <w:r>
        <w:rPr>
          <w:b/>
        </w:rPr>
        <w:t>Kurzfristig einzahlbar (geschätzt):</w:t>
      </w:r>
      <w:r>
        <w:t xml:space="preserve"> ca. </w:t>
      </w:r>
      <w:r>
        <w:rPr>
          <w:b/>
        </w:rPr>
        <w:t>69.000 EUR</w:t>
      </w:r>
      <w:r>
        <w:t xml:space="preserve"> in den nächsten 4 Wochen</w:t>
      </w:r>
    </w:p>
    <w:p/>
    <w:p>
      <w:pPr>
        <w:pStyle w:val="Heading2"/>
      </w:pPr>
      <w:r>
        <w:rPr>
          <w:rFonts w:ascii="Times New Roman" w:hAnsi="Times New Roman"/>
        </w:rPr>
        <w:t>B. Offene Verbindlichkeiten – Sofortbedarf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Verbindlichkeit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Lohnrückstand März 2026 (38 MA)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(Insolvenzgeldvorfinanzierung)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Lohnrückstand April 2026 (38 MA)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(Insolvenzgeldvorfinanzierung)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Lieferant Vorkasse (Furnierlieferung)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(Fortführungserfordernis)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Mietrückstand Halle (Feb.–Apr. 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– USt März/April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52.340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(keine Aussetzung ohne Antrag)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Lieferanten kurzfristig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C. Betriebsfortführungsanalyse</w:t>
      </w:r>
    </w:p>
    <w:p>
      <w:pPr>
        <w:pStyle w:val="Heading3"/>
      </w:pPr>
      <w:r>
        <w:rPr>
          <w:rFonts w:ascii="Times New Roman" w:hAnsi="Times New Roman"/>
        </w:rPr>
        <w:t>C.1 Fortführungsszenarien</w:t>
      </w:r>
    </w:p>
    <w:p>
      <w:pPr>
        <w:jc w:val="left"/>
      </w:pPr>
      <w:r>
        <w:t>Die vorläufige Insolvenzverwalterin hat drei Szenarien bewertet:</w:t>
      </w:r>
    </w:p>
    <w:p>
      <w:pPr>
        <w:jc w:val="left"/>
      </w:pPr>
      <w:r>
        <w:rPr>
          <w:b/>
        </w:rPr>
        <w:t>Szenario 1 – Sofortstopp:</w:t>
      </w:r>
    </w:p>
    <w:p>
      <w:pPr>
        <w:jc w:val="left"/>
      </w:pPr>
      <w:r>
        <w:t>Produktionsstilllegung ab 08.05.2026. Masseeffekt: Lohnkosten sofort gestoppt. Negative Effekte: Kundenforderungen Pflegeheim Elbaue und Hotel Speicherstadt drohen zu verfallen (Vertragsrücktritt möglich), Warenlager verliert durch fehlende Fertigstellung ca. 40 % Wert. Masseeinbuße geschätzt: 55.000–80.000 EUR.</w:t>
      </w:r>
    </w:p>
    <w:p>
      <w:pPr>
        <w:jc w:val="left"/>
      </w:pPr>
      <w:r>
        <w:rPr>
          <w:b/>
        </w:rPr>
        <w:t>Szenario 2 – Kurzfortführung (2 Wochen bis 21.05.2026):</w:t>
      </w:r>
    </w:p>
    <w:p>
      <w:pPr>
        <w:jc w:val="left"/>
      </w:pPr>
      <w:r>
        <w:t xml:space="preserve">Fertigstellung der Aufträge Pflegeheim Elbaue und Hotel Speicherstadt. Vorkasse für Furnierlieferung erforderlich (22.000 EUR). Erlöspotenzial aus Fertigstellung: ca. 48.000 EUR Nettomarge. Insolvenzgeldvorfinanzierung schließt Lohnlücke. Personalabbau nach Fortführungsende koordiniert. </w:t>
      </w:r>
      <w:r>
        <w:rPr>
          <w:b/>
        </w:rPr>
        <w:t>Empfehlung der vorläufigen IV.</w:t>
      </w:r>
    </w:p>
    <w:p>
      <w:pPr>
        <w:jc w:val="left"/>
      </w:pPr>
      <w:r>
        <w:rPr>
          <w:b/>
        </w:rPr>
        <w:t>Szenario 3 – Verlängerte Fortführung (8 Wochen):</w:t>
      </w:r>
    </w:p>
    <w:p>
      <w:pPr>
        <w:jc w:val="left"/>
      </w:pPr>
      <w:r>
        <w:t>Zusätzlich Klinikverbund Prignitz fertigstellen. Höhere Erlöse, aber deutlich erhöhtes Risiko (Materialversorgung unsicher, Schlüsselpersonal könnte kündigen, Masseverbindlichkeiten steigen). Nicht empfohlen ohne belastbaren Finanzplan.</w:t>
      </w:r>
    </w:p>
    <w:p>
      <w:pPr>
        <w:pStyle w:val="Heading3"/>
      </w:pPr>
      <w:r>
        <w:rPr>
          <w:rFonts w:ascii="Times New Roman" w:hAnsi="Times New Roman"/>
        </w:rPr>
        <w:t>C.2 Maßnahmen für Szenario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Insolvenzgeldvorfinanzierung beantragen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Westphal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eingeleitet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Furnierlieferung Vorkasse genehmigen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Westphal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genehmigt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 Pflegeheim und Hotel informieren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Brauer + 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erfolgt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Personalversammlung Mitarbeiter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IV mit Betriebsbeauftragtem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Produktionsstopp Klinikverbund mitteilenCopy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vorbereitet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Abschluss Fortführung und Lagerreinigung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C.3 Fortführungsbudget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 Pflegeheim Elbaue (erwartet)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Teilzahlung Hotel Speicherstadt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Insolvenzgeldvorfinanzierung (Lohnrückstand März/April)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Einzahlungen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283.700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Löhne März (nach Insolvenzgeld-Vorfinanzierung ausgekehrt)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Löhne April (nach Insolvenzgeld-Vorfinanzierung ausgekehrt)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Furnierlieferung Vorkasse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Strom und Energie Fortführung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Maschinenmiete Schwerlaststapler (ext.)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Auszahlungen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264.000</w:t>
            </w:r>
          </w:p>
        </w:tc>
      </w:tr>
    </w:tbl>
    <w:p>
      <w:pPr>
        <w:jc w:val="left"/>
      </w:pPr>
      <w:r>
        <w:rPr>
          <w:b/>
        </w:rPr>
        <w:t>Netto-Masseeffekt Fortführung (geschätzt): +19.700 EUR</w:t>
      </w:r>
    </w:p>
    <w:p>
      <w:pPr>
        <w:jc w:val="left"/>
      </w:pPr>
      <w:r>
        <w:t>(zzgl. vermiedener Wartwertabfall und Erhalt Kundenforderungen ca. 31.400 EUR – Gesamteffekt ca. 51.100 EUR)</w:t>
      </w:r>
    </w:p>
    <w:p/>
    <w:p>
      <w:pPr>
        <w:pStyle w:val="Heading2"/>
      </w:pPr>
      <w:r>
        <w:rPr>
          <w:rFonts w:ascii="Times New Roman" w:hAnsi="Times New Roman"/>
        </w:rPr>
        <w:t>D. Entscheidung</w:t>
      </w:r>
    </w:p>
    <w:p>
      <w:pPr>
        <w:jc w:val="left"/>
      </w:pPr>
      <w:r>
        <w:t xml:space="preserve">Die vorläufige Insolvenzverwalterin entscheidet sich für </w:t>
      </w:r>
      <w:r>
        <w:rPr>
          <w:b/>
        </w:rPr>
        <w:t>Szenario 2 (Kurzfortführung bis 21.05.2026)</w:t>
      </w:r>
      <w:r>
        <w:t>. Die Betriebsfortführung ist mit Zustimmung des Gerichts (mündliche Rückkopplung am 08.05.2026) aufgenommen. Ein förmlicher Bericht an das Insolvenzgericht erfolgt mit dem Eröffnungsgutachten.</w:t>
      </w:r>
    </w:p>
    <w:p/>
    <w:p>
      <w:pPr>
        <w:jc w:val="left"/>
      </w:pPr>
      <w:r>
        <w:rPr>
          <w:i/>
        </w:rPr>
        <w:t>Dr. Nora Westphal, Magdeburg, 09.05.2026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