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Forderungsanmeldungen – Sammelakte</w:t>
      </w:r>
    </w:p>
    <w:p>
      <w:pPr>
        <w:ind w:left="567"/>
      </w:pPr>
      <w:r>
        <w:rPr>
          <w:i/>
        </w:rPr>
        <w:t>Amtsgericht Stendal, Az. 7 IN 41/26</w:t>
      </w:r>
    </w:p>
    <w:p>
      <w:pPr>
        <w:ind w:left="567"/>
      </w:pPr>
      <w:r>
        <w:rPr>
          <w:i/>
        </w:rPr>
        <w:t>Insolvenzverfahren über das Vermögen der Möbelwerk Havelberg GmbH</w:t>
      </w:r>
    </w:p>
    <w:p>
      <w:pPr>
        <w:ind w:left="567"/>
      </w:pPr>
      <w:r>
        <w:rPr>
          <w:i/>
        </w:rPr>
        <w:t>Verfahrenseröffnung: 12.06.2026</w:t>
      </w:r>
    </w:p>
    <w:p>
      <w:pPr>
        <w:ind w:left="567"/>
      </w:pPr>
      <w:r>
        <w:rPr>
          <w:i/>
        </w:rPr>
        <w:t>Prüfungstermin: 14.09.2026, 10:00 Uhr, Amtsgericht Stendal, Saal 12</w:t>
      </w:r>
    </w:p>
    <w:p>
      <w:pPr>
        <w:ind w:left="567"/>
      </w:pPr>
      <w:r>
        <w:rPr>
          <w:i/>
        </w:rPr>
        <w:t>Insolvenzverwalterin: Dr. Nora Westphal</w:t>
      </w:r>
    </w:p>
    <w:p/>
    <w:p>
      <w:pPr>
        <w:pStyle w:val="Heading2"/>
      </w:pPr>
      <w:r>
        <w:rPr>
          <w:rFonts w:ascii="Times New Roman" w:hAnsi="Times New Roman"/>
        </w:rPr>
        <w:t>Übersicht angemeldeter Forderungen (Stand 01.08.2026)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Forderungsbetrag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Davon absonderungsberechtigt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Anmeldedatum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Furnier Nord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186.420,00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480.000,00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350.000,00 (SÜ Maschinen/Globalzession)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 + § 50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Finanzamt Stendal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92.340,00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AOK Sachsen-Anhalt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61.200,00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M. Kordes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7.800,00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InsO, § 302 InsO (behauptet)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Prignitz Forst KG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43.700,00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 (EV läuft gesondert)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Holzbauer GmbH &amp; Co. KG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28.100,00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Beschlagwerk Elbe 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19.440,00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Havelstrom GbR (Vermieter)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48.000,00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Arbeitnehmer (38 Einzelanmeldungen)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236.000,00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Würtl-Leasing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22.800,00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 (Eigentum am Fahrzeug behauptet)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38 InsO ggf. nur Schadensersatz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Gesellschafter Tim Brauer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120.000,00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39 Abs. 1 Nr. 5 InsO (nachrangig)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21.07.2026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1.345.800,00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350.000,00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Einzeldarstellung der wesentlichen Forderungen</w:t>
      </w:r>
    </w:p>
    <w:p>
      <w:pPr>
        <w:pStyle w:val="Heading3"/>
      </w:pPr>
      <w:r>
        <w:rPr>
          <w:rFonts w:ascii="Times New Roman" w:hAnsi="Times New Roman"/>
        </w:rPr>
        <w:t>Nr. 1 – Furnier Nord GmbH (Antragsgläubigerin)</w:t>
      </w:r>
    </w:p>
    <w:p>
      <w:pPr>
        <w:jc w:val="left"/>
      </w:pPr>
      <w:r>
        <w:rPr>
          <w:b/>
        </w:rPr>
        <w:t>Forderungsbetrag:</w:t>
      </w:r>
      <w:r>
        <w:t xml:space="preserve"> 186.420,00 EUR</w:t>
      </w:r>
    </w:p>
    <w:p>
      <w:pPr>
        <w:jc w:val="left"/>
      </w:pPr>
      <w:r>
        <w:rPr>
          <w:b/>
        </w:rPr>
        <w:t>Grund:</w:t>
      </w:r>
      <w:r>
        <w:t xml:space="preserve"> Ausstehende Kaufpreisforderungen aus Warenlieferungen (Furniermaterial, Holzwerkstoffe), Rechnungen FN-2026-0312 bis FN-2026-0509, Zeitraum Januar bis März 2026.</w:t>
      </w:r>
    </w:p>
    <w:p>
      <w:pPr>
        <w:jc w:val="left"/>
      </w:pPr>
      <w:r>
        <w:rPr>
          <w:b/>
        </w:rPr>
        <w:t>Belege:</w:t>
      </w:r>
      <w:r>
        <w:t xml:space="preserve"> Vollständig. Rechnungen, Lieferscheine und Kontoauszüge (Rücklastschrift 22.03.2026) eingereicht.</w:t>
      </w:r>
    </w:p>
    <w:p>
      <w:pPr>
        <w:jc w:val="left"/>
      </w:pPr>
      <w:r>
        <w:rPr>
          <w:b/>
        </w:rPr>
        <w:t>Anfechtungsrelevanz:</w:t>
      </w:r>
      <w:r>
        <w:t xml:space="preserve"> Die Zahlung vom 20.03.2026 in Höhe von 18.000,00 EUR ist als kongruente Deckung mit Anfechtungsrelevanz zu prüfen (→ gesonderte Anfechtungsakte, Datei 10).</w:t>
      </w:r>
    </w:p>
    <w:p>
      <w:pPr>
        <w:jc w:val="left"/>
      </w:pPr>
      <w:r>
        <w:rPr>
          <w:b/>
        </w:rPr>
        <w:t>Prüfungsergebnis (vorläufig):</w:t>
      </w:r>
      <w:r>
        <w:t xml:space="preserve"> Zur Feststellung empfohlen in Höhe von 186.420,00 EUR.</w:t>
      </w:r>
    </w:p>
    <w:p/>
    <w:p>
      <w:pPr>
        <w:pStyle w:val="Heading3"/>
      </w:pPr>
      <w:r>
        <w:rPr>
          <w:rFonts w:ascii="Times New Roman" w:hAnsi="Times New Roman"/>
        </w:rPr>
        <w:t>Nr. 2 – Havelbank eG</w:t>
      </w:r>
    </w:p>
    <w:p>
      <w:pPr>
        <w:jc w:val="left"/>
      </w:pPr>
      <w:r>
        <w:rPr>
          <w:b/>
        </w:rPr>
        <w:t>Forderungsbetrag:</w:t>
      </w:r>
      <w:r>
        <w:t xml:space="preserve"> 480.000,00 EUR (Darlehenssaldo per 30.04.2026, zzgl. aufgelaufener Zinsen 3.200,00 EUR)</w:t>
      </w:r>
    </w:p>
    <w:p>
      <w:pPr>
        <w:jc w:val="left"/>
      </w:pPr>
      <w:r>
        <w:rPr>
          <w:b/>
        </w:rPr>
        <w:t>Grund:</w:t>
      </w:r>
      <w:r>
        <w:t xml:space="preserve"> Investitionsdarlehen vom 14.03.2022, Valuta 550.000,00 EUR, Restvaluta per Antragsdatum 480.000,00 EUR; Kontokorrentkreditlinie 250.000,00 EUR voll ausgeschöpft (im Saldo enthalten).</w:t>
      </w:r>
    </w:p>
    <w:p>
      <w:pPr>
        <w:jc w:val="left"/>
      </w:pPr>
      <w:r>
        <w:rPr>
          <w:b/>
        </w:rPr>
        <w:t>Sicherheiten (§ 50 InsO):</w:t>
      </w:r>
    </w:p>
    <w:p>
      <w:pPr>
        <w:pStyle w:val="ListBullet"/>
      </w:pPr>
      <w:r>
        <w:t>Sicherungsübereignung Maschinen (CNC-Fräse, Kantenanleimmaschine, Gabelstapler) laut Vertrag 14.03.2022</w:t>
      </w:r>
    </w:p>
    <w:p>
      <w:pPr>
        <w:pStyle w:val="ListBullet"/>
      </w:pPr>
      <w:r>
        <w:t>Globalzession sämtlicher Kundenforderungen laut Zessionsvertrag 14.03.2022</w:t>
      </w:r>
    </w:p>
    <w:p>
      <w:pPr>
        <w:pStyle w:val="ListBullet"/>
      </w:pPr>
      <w:r>
        <w:t>Sicherheitenwert nach vorläufiger Einschätzung IV: ca. 171.500,00 EUR (Maschinen) + ca. 172.000,00 EUR realisierbare Forderungen = ca. 343.500,00 EUR</w:t>
      </w:r>
    </w:p>
    <w:p>
      <w:pPr>
        <w:jc w:val="left"/>
      </w:pPr>
      <w:r>
        <w:rPr>
          <w:b/>
        </w:rPr>
        <w:t>Streitpunkte:</w:t>
      </w:r>
    </w:p>
    <w:p>
      <w:pPr>
        <w:pStyle w:val="ListBullet"/>
      </w:pPr>
      <w:r>
        <w:t>Wirksamkeit und Bestimmtheit der Sicherungsübereignung wird geprüft</w:t>
      </w:r>
    </w:p>
    <w:p>
      <w:pPr>
        <w:pStyle w:val="ListBullet"/>
      </w:pPr>
      <w:r>
        <w:t>Globalzession: Kollision mit verlängertem EV Prignitz Forst KG zu klären</w:t>
      </w:r>
    </w:p>
    <w:p>
      <w:pPr>
        <w:pStyle w:val="ListBullet"/>
      </w:pPr>
      <w:r>
        <w:t>Sondertilgung 02.04.2026 in Höhe von 35.000,00 EUR ist anfechtungsrelevant (→ Anfechtungsakte)</w:t>
      </w:r>
    </w:p>
    <w:p>
      <w:pPr>
        <w:jc w:val="left"/>
      </w:pPr>
      <w:r>
        <w:rPr>
          <w:b/>
        </w:rPr>
        <w:t>Prüfungsergebnis (vorläufig):</w:t>
      </w:r>
      <w:r>
        <w:t xml:space="preserve"> Forderung dem Grunde nach unstreitig; Absonderungsrechte vorläufig anerkannt vorbehaltlich Anfechtung und Sicherheitenwertgutachten. Vorläufig bestritten soweit Absonderungsrecht den Sicherheitenwert überschreitet.</w:t>
      </w:r>
    </w:p>
    <w:p/>
    <w:p>
      <w:pPr>
        <w:pStyle w:val="Heading3"/>
      </w:pPr>
      <w:r>
        <w:rPr>
          <w:rFonts w:ascii="Times New Roman" w:hAnsi="Times New Roman"/>
        </w:rPr>
        <w:t>Nr. 3 – Finanzamt Stendal</w:t>
      </w:r>
    </w:p>
    <w:p>
      <w:pPr>
        <w:jc w:val="left"/>
      </w:pPr>
      <w:r>
        <w:rPr>
          <w:b/>
        </w:rPr>
        <w:t>Forderungsbetrag:</w:t>
      </w:r>
      <w:r>
        <w:t xml:space="preserve"> 92.340,00 EUR</w:t>
      </w:r>
    </w:p>
    <w:p>
      <w:pPr>
        <w:jc w:val="left"/>
      </w:pPr>
      <w:r>
        <w:rPr>
          <w:b/>
        </w:rPr>
        <w:t>Zusammensetzung: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Umsatzsteuer (§ 55 Abs. 4 UStG / rückständig)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Januar–April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54.120,00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März–April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38.220,00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92.340,00</w:t>
            </w:r>
          </w:p>
        </w:tc>
      </w:tr>
    </w:tbl>
    <w:p>
      <w:pPr>
        <w:jc w:val="left"/>
      </w:pPr>
      <w:r>
        <w:rPr>
          <w:b/>
        </w:rPr>
        <w:t>Rang:</w:t>
      </w:r>
      <w:r>
        <w:t xml:space="preserve"> Einfache Insolvenzgläubigerin (§ 38 InsO); keine Masseforderung soweit vor Verfahrenseröffnung entstanden.</w:t>
      </w:r>
    </w:p>
    <w:p>
      <w:pPr>
        <w:jc w:val="left"/>
      </w:pPr>
      <w:r>
        <w:rPr>
          <w:b/>
        </w:rPr>
        <w:t>Prüfungsergebnis (vorläufig):</w:t>
      </w:r>
      <w:r>
        <w:t xml:space="preserve"> Zur Feststellung empfohlen. Lohnsteuerbetrag deckt sich mit Lohnabrechnungen.</w:t>
      </w:r>
    </w:p>
    <w:p/>
    <w:p>
      <w:pPr>
        <w:pStyle w:val="Heading3"/>
      </w:pPr>
      <w:r>
        <w:rPr>
          <w:rFonts w:ascii="Times New Roman" w:hAnsi="Times New Roman"/>
        </w:rPr>
        <w:t>Nr. 4 – AOK Sachsen-Anhalt</w:t>
      </w:r>
    </w:p>
    <w:p>
      <w:pPr>
        <w:jc w:val="left"/>
      </w:pPr>
      <w:r>
        <w:rPr>
          <w:b/>
        </w:rPr>
        <w:t>Forderungsbetrag:</w:t>
      </w:r>
      <w:r>
        <w:t xml:space="preserve"> 61.200,00 EUR</w:t>
      </w:r>
    </w:p>
    <w:p>
      <w:pPr>
        <w:jc w:val="left"/>
      </w:pPr>
      <w:r>
        <w:rPr>
          <w:b/>
        </w:rPr>
        <w:t>Grund:</w:t>
      </w:r>
      <w:r>
        <w:t xml:space="preserve"> Rückständige Sozialversicherungsbeiträge (Arbeitnehmer- und Arbeitgeberanteile) März und April 2026.</w:t>
      </w:r>
    </w:p>
    <w:p>
      <w:pPr>
        <w:jc w:val="left"/>
      </w:pPr>
      <w:r>
        <w:rPr>
          <w:b/>
        </w:rPr>
        <w:t>Prüfungsergebnis (vorläufig):</w:t>
      </w:r>
      <w:r>
        <w:t xml:space="preserve"> Zur Feststellung empfohlen. Beitragsnachweis eingereicht.</w:t>
      </w:r>
    </w:p>
    <w:p/>
    <w:p>
      <w:pPr>
        <w:pStyle w:val="Heading3"/>
      </w:pPr>
      <w:r>
        <w:rPr>
          <w:rFonts w:ascii="Times New Roman" w:hAnsi="Times New Roman"/>
        </w:rPr>
        <w:t>Nr. 5 – M. Kordes</w:t>
      </w:r>
    </w:p>
    <w:p>
      <w:pPr>
        <w:jc w:val="left"/>
      </w:pPr>
      <w:r>
        <w:rPr>
          <w:b/>
        </w:rPr>
        <w:t>Forderungsbetrag:</w:t>
      </w:r>
      <w:r>
        <w:t xml:space="preserve"> 7.800,00 EUR</w:t>
      </w:r>
    </w:p>
    <w:p>
      <w:pPr>
        <w:jc w:val="left"/>
      </w:pPr>
      <w:r>
        <w:rPr>
          <w:b/>
        </w:rPr>
        <w:t>Behaupteter Grund:</w:t>
      </w:r>
      <w:r>
        <w:t xml:space="preserve"> Nicht ausgezahlte Provision aus Vermittlung des Auftrags Klinikverbund Prignitz; darüber hinaus behauptet der Gläubiger eine vorsätzliche unerlaubte Handlung des Geschäftsführers (§ 826 BGB) wegen arglistiger Nichtauszahlung.</w:t>
      </w:r>
    </w:p>
    <w:p>
      <w:pPr>
        <w:jc w:val="left"/>
      </w:pPr>
      <w:r>
        <w:rPr>
          <w:b/>
        </w:rPr>
        <w:t>Belege:</w:t>
      </w:r>
      <w:r>
        <w:t xml:space="preserve"> Keine schriftliche Provisionsvereinbarung vorgelegt; E-Mail-Verkehr fragmentarisch.</w:t>
      </w:r>
    </w:p>
    <w:p>
      <w:pPr>
        <w:jc w:val="left"/>
      </w:pPr>
      <w:r>
        <w:rPr>
          <w:b/>
        </w:rPr>
        <w:t>Prüfungsergebnis (vorläufig):</w:t>
      </w:r>
    </w:p>
    <w:p>
      <w:pPr>
        <w:pStyle w:val="ListBullet"/>
      </w:pPr>
      <w:r>
        <w:t xml:space="preserve">Forderung dem Grunde nach </w:t>
      </w:r>
      <w:r>
        <w:rPr>
          <w:b/>
        </w:rPr>
        <w:t>bestritten</w:t>
      </w:r>
      <w:r>
        <w:t xml:space="preserve"> (kein Nachweis einer Provisionsvereinbarung).</w:t>
      </w:r>
    </w:p>
    <w:p>
      <w:pPr>
        <w:pStyle w:val="ListBullet"/>
      </w:pPr>
      <w:r>
        <w:t xml:space="preserve">§ 302 InsO-Qualität (vorsätzliche unerlaubte Handlung) ebenfalls </w:t>
      </w:r>
      <w:r>
        <w:rPr>
          <w:b/>
        </w:rPr>
        <w:t>bestritten</w:t>
      </w:r>
      <w:r>
        <w:t xml:space="preserve"> – fehlende Belege, kein Vorsatz nachgewiesen.</w:t>
      </w:r>
    </w:p>
    <w:p>
      <w:pPr>
        <w:pStyle w:val="ListBullet"/>
      </w:pPr>
      <w:r>
        <w:t>Gläubiger wird aufgefordert, Unterlagen bis 01.09.2026 nachzureichen.</w:t>
      </w:r>
    </w:p>
    <w:p/>
    <w:p>
      <w:pPr>
        <w:pStyle w:val="Heading3"/>
      </w:pPr>
      <w:r>
        <w:rPr>
          <w:rFonts w:ascii="Times New Roman" w:hAnsi="Times New Roman"/>
        </w:rPr>
        <w:t>Nr. 12 – Tim Brauer (Gesellschafterdarlehen)</w:t>
      </w:r>
    </w:p>
    <w:p>
      <w:pPr>
        <w:jc w:val="left"/>
      </w:pPr>
      <w:r>
        <w:rPr>
          <w:b/>
        </w:rPr>
        <w:t>Forderungsbetrag:</w:t>
      </w:r>
      <w:r>
        <w:t xml:space="preserve"> 120.000,00 EUR</w:t>
      </w:r>
    </w:p>
    <w:p>
      <w:pPr>
        <w:jc w:val="left"/>
      </w:pPr>
      <w:r>
        <w:rPr>
          <w:b/>
        </w:rPr>
        <w:t>Grund:</w:t>
      </w:r>
      <w:r>
        <w:t xml:space="preserve"> Gesellschafterdarlehen aus 2023, nachrangig gemäß § 39 Abs. 1 Nr. 5 InsO.</w:t>
      </w:r>
    </w:p>
    <w:p>
      <w:pPr>
        <w:jc w:val="left"/>
      </w:pPr>
      <w:r>
        <w:rPr>
          <w:b/>
        </w:rPr>
        <w:t>Anfechtungsrelevanz:</w:t>
      </w:r>
      <w:r>
        <w:t xml:space="preserve"> Rückzahlung von 12.500,00 EUR am 11.04.2026 im Anfechtungszeitraum → gesonderte Prüfung (→ Anfechtungsakte).</w:t>
      </w:r>
    </w:p>
    <w:p>
      <w:pPr>
        <w:jc w:val="left"/>
      </w:pPr>
      <w:r>
        <w:rPr>
          <w:b/>
        </w:rPr>
        <w:t>Prüfungsergebnis:</w:t>
      </w:r>
      <w:r>
        <w:t xml:space="preserve"> Zur Feststellung als nachrangige Forderung empfohlen; Quote voraussichtlich 0 %.</w:t>
      </w:r>
    </w:p>
    <w:p/>
    <w:p>
      <w:pPr>
        <w:pStyle w:val="Heading2"/>
      </w:pPr>
      <w:r>
        <w:rPr>
          <w:rFonts w:ascii="Times New Roman" w:hAnsi="Times New Roman"/>
        </w:rPr>
        <w:t>Anmeldeschluss und weiteres Verfahren</w:t>
      </w:r>
    </w:p>
    <w:p>
      <w:pPr>
        <w:pStyle w:val="ListBullet"/>
      </w:pPr>
      <w:r>
        <w:rPr>
          <w:b/>
        </w:rPr>
        <w:t>Anmeldefrist:</w:t>
      </w:r>
      <w:r>
        <w:t xml:space="preserve"> 01.08.2026 (lt. Eröffnungsbeschluss 12.06.2026)</w:t>
      </w:r>
    </w:p>
    <w:p>
      <w:pPr>
        <w:pStyle w:val="ListBullet"/>
      </w:pPr>
      <w:r>
        <w:rPr>
          <w:b/>
        </w:rPr>
        <w:t>Prüfungstermin:</w:t>
      </w:r>
      <w:r>
        <w:t xml:space="preserve"> 14.09.2026, 10:00 Uhr, AG Stendal, Saal 12</w:t>
      </w:r>
    </w:p>
    <w:p>
      <w:pPr>
        <w:pStyle w:val="ListBullet"/>
      </w:pPr>
      <w:r>
        <w:rPr>
          <w:b/>
        </w:rPr>
        <w:t>Tabellenauszüge</w:t>
      </w:r>
      <w:r>
        <w:t xml:space="preserve"> werden bis 25.08.2026 an alle Gläubiger versandt</w:t>
      </w:r>
    </w:p>
    <w:p>
      <w:pPr>
        <w:pStyle w:val="ListBullet"/>
      </w:pPr>
      <w:r>
        <w:t>Nachanmeldungen sind möglich (§ 177 InsO), erhöhen aber die Tabellenpositionen</w:t>
      </w:r>
    </w:p>
    <w:p/>
    <w:p>
      <w:pPr>
        <w:jc w:val="left"/>
      </w:pPr>
      <w:r>
        <w:rPr>
          <w:i/>
        </w:rPr>
        <w:t>Dr. Nora Westphal, Insolvenzverwalterin, Magdeburg, 05.08.2026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