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Schlussbericht und Schlussrechnung</w:t>
      </w:r>
    </w:p>
    <w:p>
      <w:pPr>
        <w:ind w:left="567"/>
      </w:pPr>
      <w:r>
        <w:rPr>
          <w:b/>
          <w:i/>
        </w:rPr>
        <w:t>An das Amtsgericht Stendal – Insolvenzgericht –</w:t>
      </w:r>
    </w:p>
    <w:p>
      <w:pPr>
        <w:ind w:left="567"/>
      </w:pPr>
      <w:r>
        <w:rPr>
          <w:i/>
        </w:rPr>
        <w:t>Hospitalstraße 4, 39576 Stendal</w:t>
      </w:r>
    </w:p>
    <w:p>
      <w:pPr>
        <w:ind w:left="567"/>
      </w:pPr>
      <w:r>
        <w:rPr>
          <w:i/>
        </w:rPr>
        <w:t>Az.: 7 IN 41/26</w:t>
      </w:r>
    </w:p>
    <w:p>
      <w:pPr>
        <w:ind w:left="567"/>
      </w:pPr>
    </w:p>
    <w:p>
      <w:pPr>
        <w:ind w:left="567"/>
      </w:pPr>
      <w:r>
        <w:rPr>
          <w:b/>
          <w:i/>
        </w:rPr>
        <w:t>Von:</w:t>
      </w:r>
      <w:r>
        <w:rPr>
          <w:i/>
        </w:rPr>
        <w:t xml:space="preserve"> Dr. Nora Westphal, Insolvenzverwalterin</w:t>
      </w:r>
    </w:p>
    <w:p>
      <w:pPr>
        <w:ind w:left="567"/>
      </w:pPr>
      <w:r>
        <w:rPr>
          <w:i/>
        </w:rPr>
        <w:t>Kurfürstenallee 88, 39104 Magdeburg</w:t>
      </w:r>
    </w:p>
    <w:p>
      <w:pPr>
        <w:ind w:left="567"/>
      </w:pPr>
    </w:p>
    <w:p>
      <w:pPr>
        <w:ind w:left="567"/>
      </w:pPr>
      <w:r>
        <w:rPr>
          <w:b/>
          <w:i/>
        </w:rPr>
        <w:t>Datum:</w:t>
      </w:r>
      <w:r>
        <w:rPr>
          <w:i/>
        </w:rPr>
        <w:t xml:space="preserve"> 20.01.2027</w:t>
      </w:r>
    </w:p>
    <w:p/>
    <w:p>
      <w:pPr>
        <w:pStyle w:val="Heading2"/>
      </w:pPr>
      <w:r>
        <w:rPr>
          <w:rFonts w:ascii="Times New Roman" w:hAnsi="Times New Roman"/>
        </w:rPr>
        <w:t>I. Verfahrensübersicht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Schuldnerin</w:t>
            </w:r>
          </w:p>
        </w:tc>
        <w:tc>
          <w:tcPr>
            <w:tcW w:type="dxa" w:w="4536"/>
          </w:tcPr>
          <w:p>
            <w:r>
              <w:rPr>
                <w:rFonts w:ascii="Times New Roman" w:hAnsi="Times New Roman"/>
                <w:sz w:val="20"/>
              </w:rPr>
              <w:t>Möbelwerk Havelberg GmbH, Werftstraße 14, 39539 Havelberg</w:t>
            </w:r>
          </w:p>
        </w:tc>
      </w:tr>
      <w:tr>
        <w:tc>
          <w:tcPr>
            <w:tcW w:type="dxa" w:w="4536"/>
          </w:tcPr>
          <w:p>
            <w:r>
              <w:rPr>
                <w:rFonts w:ascii="Times New Roman" w:hAnsi="Times New Roman"/>
                <w:sz w:val="20"/>
              </w:rPr>
              <w:t>Eröffnungsdatum</w:t>
            </w:r>
          </w:p>
        </w:tc>
        <w:tc>
          <w:tcPr>
            <w:tcW w:type="dxa" w:w="4536"/>
          </w:tcPr>
          <w:p>
            <w:r>
              <w:rPr>
                <w:rFonts w:ascii="Times New Roman" w:hAnsi="Times New Roman"/>
                <w:sz w:val="20"/>
              </w:rPr>
              <w:t>12.06.2026</w:t>
            </w:r>
          </w:p>
        </w:tc>
      </w:tr>
      <w:tr>
        <w:tc>
          <w:tcPr>
            <w:tcW w:type="dxa" w:w="4536"/>
          </w:tcPr>
          <w:p>
            <w:r>
              <w:rPr>
                <w:rFonts w:ascii="Times New Roman" w:hAnsi="Times New Roman"/>
                <w:sz w:val="20"/>
              </w:rPr>
              <w:t>Antragstellerin</w:t>
            </w:r>
          </w:p>
        </w:tc>
        <w:tc>
          <w:tcPr>
            <w:tcW w:type="dxa" w:w="4536"/>
          </w:tcPr>
          <w:p>
            <w:r>
              <w:rPr>
                <w:rFonts w:ascii="Times New Roman" w:hAnsi="Times New Roman"/>
                <w:sz w:val="20"/>
              </w:rPr>
              <w:t>Furnier Nord GmbH</w:t>
            </w:r>
          </w:p>
        </w:tc>
      </w:tr>
      <w:tr>
        <w:tc>
          <w:tcPr>
            <w:tcW w:type="dxa" w:w="4536"/>
          </w:tcPr>
          <w:p>
            <w:r>
              <w:rPr>
                <w:rFonts w:ascii="Times New Roman" w:hAnsi="Times New Roman"/>
                <w:sz w:val="20"/>
              </w:rPr>
              <w:t>Eröffnungsgrund</w:t>
            </w:r>
          </w:p>
        </w:tc>
        <w:tc>
          <w:tcPr>
            <w:tcW w:type="dxa" w:w="4536"/>
          </w:tcPr>
          <w:p>
            <w:r>
              <w:rPr>
                <w:rFonts w:ascii="Times New Roman" w:hAnsi="Times New Roman"/>
                <w:sz w:val="20"/>
              </w:rPr>
              <w:t>Zahlungsunfähigkeit (§ 17 InsO)</w:t>
            </w:r>
          </w:p>
        </w:tc>
      </w:tr>
      <w:tr>
        <w:tc>
          <w:tcPr>
            <w:tcW w:type="dxa" w:w="4536"/>
          </w:tcPr>
          <w:p>
            <w:r>
              <w:rPr>
                <w:rFonts w:ascii="Times New Roman" w:hAnsi="Times New Roman"/>
                <w:sz w:val="20"/>
              </w:rPr>
              <w:t>Prüfungstermin</w:t>
            </w:r>
          </w:p>
        </w:tc>
        <w:tc>
          <w:tcPr>
            <w:tcW w:type="dxa" w:w="4536"/>
          </w:tcPr>
          <w:p>
            <w:r>
              <w:rPr>
                <w:rFonts w:ascii="Times New Roman" w:hAnsi="Times New Roman"/>
                <w:sz w:val="20"/>
              </w:rPr>
              <w:t>14.09.2026</w:t>
            </w:r>
          </w:p>
        </w:tc>
      </w:tr>
      <w:tr>
        <w:tc>
          <w:tcPr>
            <w:tcW w:type="dxa" w:w="4536"/>
          </w:tcPr>
          <w:p>
            <w:r>
              <w:rPr>
                <w:rFonts w:ascii="Times New Roman" w:hAnsi="Times New Roman"/>
                <w:sz w:val="20"/>
              </w:rPr>
              <w:t>Berichtstermin</w:t>
            </w:r>
          </w:p>
        </w:tc>
        <w:tc>
          <w:tcPr>
            <w:tcW w:type="dxa" w:w="4536"/>
          </w:tcPr>
          <w:p>
            <w:r>
              <w:rPr>
                <w:rFonts w:ascii="Times New Roman" w:hAnsi="Times New Roman"/>
                <w:sz w:val="20"/>
              </w:rPr>
              <w:t>14.09.2026 (verbunden)</w:t>
            </w:r>
          </w:p>
        </w:tc>
      </w:tr>
      <w:tr>
        <w:tc>
          <w:tcPr>
            <w:tcW w:type="dxa" w:w="4536"/>
          </w:tcPr>
          <w:p>
            <w:r>
              <w:rPr>
                <w:rFonts w:ascii="Times New Roman" w:hAnsi="Times New Roman"/>
                <w:sz w:val="20"/>
              </w:rPr>
              <w:t>Schlusstermin</w:t>
            </w:r>
          </w:p>
        </w:tc>
        <w:tc>
          <w:tcPr>
            <w:tcW w:type="dxa" w:w="4536"/>
          </w:tcPr>
          <w:p>
            <w:r>
              <w:rPr>
                <w:rFonts w:ascii="Times New Roman" w:hAnsi="Times New Roman"/>
                <w:sz w:val="20"/>
              </w:rPr>
              <w:t>15.02.2027 (geplant)</w:t>
            </w:r>
          </w:p>
        </w:tc>
      </w:tr>
      <w:tr>
        <w:tc>
          <w:tcPr>
            <w:tcW w:type="dxa" w:w="4536"/>
          </w:tcPr>
          <w:p>
            <w:r>
              <w:rPr>
                <w:rFonts w:ascii="Times New Roman" w:hAnsi="Times New Roman"/>
                <w:sz w:val="20"/>
              </w:rPr>
              <w:t>Insolvenzverwalterin</w:t>
            </w:r>
          </w:p>
        </w:tc>
        <w:tc>
          <w:tcPr>
            <w:tcW w:type="dxa" w:w="4536"/>
          </w:tcPr>
          <w:p>
            <w:r>
              <w:rPr>
                <w:rFonts w:ascii="Times New Roman" w:hAnsi="Times New Roman"/>
                <w:sz w:val="20"/>
              </w:rPr>
              <w:t>Dr. Nora Westphal, Magdeburg</w:t>
            </w:r>
          </w:p>
        </w:tc>
      </w:tr>
    </w:tbl>
    <w:p/>
    <w:p>
      <w:pPr>
        <w:pStyle w:val="Heading2"/>
      </w:pPr>
      <w:r>
        <w:rPr>
          <w:rFonts w:ascii="Times New Roman" w:hAnsi="Times New Roman"/>
        </w:rPr>
        <w:t>II. Masserealisierung</w:t>
      </w:r>
    </w:p>
    <w:p>
      <w:pPr>
        <w:pStyle w:val="Heading3"/>
      </w:pPr>
      <w:r>
        <w:rPr>
          <w:rFonts w:ascii="Times New Roman" w:hAnsi="Times New Roman"/>
        </w:rPr>
        <w:t>II.1 Einnahmen (Gesamtmasse)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Quelle</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Bankguthaben bei Eröffnung (beide Konten)</w:t>
            </w:r>
          </w:p>
        </w:tc>
        <w:tc>
          <w:tcPr>
            <w:tcW w:type="dxa" w:w="4536"/>
          </w:tcPr>
          <w:p>
            <w:r>
              <w:rPr>
                <w:rFonts w:ascii="Times New Roman" w:hAnsi="Times New Roman"/>
                <w:sz w:val="20"/>
              </w:rPr>
              <w:t>20.890,00</w:t>
            </w:r>
          </w:p>
        </w:tc>
      </w:tr>
      <w:tr>
        <w:tc>
          <w:tcPr>
            <w:tcW w:type="dxa" w:w="4536"/>
          </w:tcPr>
          <w:p>
            <w:r>
              <w:rPr>
                <w:rFonts w:ascii="Times New Roman" w:hAnsi="Times New Roman"/>
                <w:sz w:val="20"/>
              </w:rPr>
              <w:t>Barkasse</w:t>
            </w:r>
          </w:p>
        </w:tc>
        <w:tc>
          <w:tcPr>
            <w:tcW w:type="dxa" w:w="4536"/>
          </w:tcPr>
          <w:p>
            <w:r>
              <w:rPr>
                <w:rFonts w:ascii="Times New Roman" w:hAnsi="Times New Roman"/>
                <w:sz w:val="20"/>
              </w:rPr>
              <w:t>1.240,00</w:t>
            </w:r>
          </w:p>
        </w:tc>
      </w:tr>
      <w:tr>
        <w:tc>
          <w:tcPr>
            <w:tcW w:type="dxa" w:w="4536"/>
          </w:tcPr>
          <w:p>
            <w:r>
              <w:rPr>
                <w:rFonts w:ascii="Times New Roman" w:hAnsi="Times New Roman"/>
                <w:sz w:val="20"/>
              </w:rPr>
              <w:t>Erlöse Betriebsfortführung (netto nach Kosten)</w:t>
            </w:r>
          </w:p>
        </w:tc>
        <w:tc>
          <w:tcPr>
            <w:tcW w:type="dxa" w:w="4536"/>
          </w:tcPr>
          <w:p>
            <w:r>
              <w:rPr>
                <w:rFonts w:ascii="Times New Roman" w:hAnsi="Times New Roman"/>
                <w:sz w:val="20"/>
              </w:rPr>
              <w:t>47.700,00</w:t>
            </w:r>
          </w:p>
        </w:tc>
      </w:tr>
      <w:tr>
        <w:tc>
          <w:tcPr>
            <w:tcW w:type="dxa" w:w="4536"/>
          </w:tcPr>
          <w:p>
            <w:r>
              <w:rPr>
                <w:rFonts w:ascii="Times New Roman" w:hAnsi="Times New Roman"/>
                <w:sz w:val="20"/>
              </w:rPr>
              <w:t>Maschinenverwertung (Einzelverwertung EML)</w:t>
            </w:r>
          </w:p>
        </w:tc>
        <w:tc>
          <w:tcPr>
            <w:tcW w:type="dxa" w:w="4536"/>
          </w:tcPr>
          <w:p>
            <w:r>
              <w:rPr>
                <w:rFonts w:ascii="Times New Roman" w:hAnsi="Times New Roman"/>
                <w:sz w:val="20"/>
              </w:rPr>
              <w:t>237.000,00</w:t>
            </w:r>
          </w:p>
        </w:tc>
      </w:tr>
      <w:tr>
        <w:tc>
          <w:tcPr>
            <w:tcW w:type="dxa" w:w="4536"/>
          </w:tcPr>
          <w:p>
            <w:r>
              <w:rPr>
                <w:rFonts w:ascii="Times New Roman" w:hAnsi="Times New Roman"/>
                <w:sz w:val="20"/>
              </w:rPr>
              <w:t>Online-Auktion Büro/IT/Kleinmaschinen</w:t>
            </w:r>
          </w:p>
        </w:tc>
        <w:tc>
          <w:tcPr>
            <w:tcW w:type="dxa" w:w="4536"/>
          </w:tcPr>
          <w:p>
            <w:r>
              <w:rPr>
                <w:rFonts w:ascii="Times New Roman" w:hAnsi="Times New Roman"/>
                <w:sz w:val="20"/>
              </w:rPr>
              <w:t>18.400,00</w:t>
            </w:r>
          </w:p>
        </w:tc>
      </w:tr>
      <w:tr>
        <w:tc>
          <w:tcPr>
            <w:tcW w:type="dxa" w:w="4536"/>
          </w:tcPr>
          <w:p>
            <w:r>
              <w:rPr>
                <w:rFonts w:ascii="Times New Roman" w:hAnsi="Times New Roman"/>
                <w:sz w:val="20"/>
              </w:rPr>
              <w:t>Verwertung Lackierkabine (Auktionshaus)</w:t>
            </w:r>
          </w:p>
        </w:tc>
        <w:tc>
          <w:tcPr>
            <w:tcW w:type="dxa" w:w="4536"/>
          </w:tcPr>
          <w:p>
            <w:r>
              <w:rPr>
                <w:rFonts w:ascii="Times New Roman" w:hAnsi="Times New Roman"/>
                <w:sz w:val="20"/>
              </w:rPr>
              <w:t>41.000,00</w:t>
            </w:r>
          </w:p>
        </w:tc>
      </w:tr>
      <w:tr>
        <w:tc>
          <w:tcPr>
            <w:tcW w:type="dxa" w:w="4536"/>
          </w:tcPr>
          <w:p>
            <w:r>
              <w:rPr>
                <w:rFonts w:ascii="Times New Roman" w:hAnsi="Times New Roman"/>
                <w:sz w:val="20"/>
              </w:rPr>
              <w:t>Kautionsrückzahlung Halle</w:t>
            </w:r>
          </w:p>
        </w:tc>
        <w:tc>
          <w:tcPr>
            <w:tcW w:type="dxa" w:w="4536"/>
          </w:tcPr>
          <w:p>
            <w:r>
              <w:rPr>
                <w:rFonts w:ascii="Times New Roman" w:hAnsi="Times New Roman"/>
                <w:sz w:val="20"/>
              </w:rPr>
              <w:t>12.000,00</w:t>
            </w:r>
          </w:p>
        </w:tc>
      </w:tr>
      <w:tr>
        <w:tc>
          <w:tcPr>
            <w:tcW w:type="dxa" w:w="4536"/>
          </w:tcPr>
          <w:p>
            <w:r>
              <w:rPr>
                <w:rFonts w:ascii="Times New Roman" w:hAnsi="Times New Roman"/>
                <w:sz w:val="20"/>
              </w:rPr>
              <w:t>Einzug Kundenforderungen (globalzediert)</w:t>
            </w:r>
          </w:p>
        </w:tc>
        <w:tc>
          <w:tcPr>
            <w:tcW w:type="dxa" w:w="4536"/>
          </w:tcPr>
          <w:p>
            <w:r>
              <w:rPr>
                <w:rFonts w:ascii="Times New Roman" w:hAnsi="Times New Roman"/>
                <w:sz w:val="20"/>
              </w:rPr>
              <w:t>172.000,00</w:t>
            </w:r>
          </w:p>
        </w:tc>
      </w:tr>
      <w:tr>
        <w:tc>
          <w:tcPr>
            <w:tcW w:type="dxa" w:w="4536"/>
          </w:tcPr>
          <w:p>
            <w:r>
              <w:rPr>
                <w:rFonts w:ascii="Times New Roman" w:hAnsi="Times New Roman"/>
                <w:sz w:val="20"/>
              </w:rPr>
              <w:t>Einzug freie Kundenforderungen</w:t>
            </w:r>
          </w:p>
        </w:tc>
        <w:tc>
          <w:tcPr>
            <w:tcW w:type="dxa" w:w="4536"/>
          </w:tcPr>
          <w:p>
            <w:r>
              <w:rPr>
                <w:rFonts w:ascii="Times New Roman" w:hAnsi="Times New Roman"/>
                <w:sz w:val="20"/>
              </w:rPr>
              <w:t>18.400,00</w:t>
            </w:r>
          </w:p>
        </w:tc>
      </w:tr>
      <w:tr>
        <w:tc>
          <w:tcPr>
            <w:tcW w:type="dxa" w:w="4536"/>
          </w:tcPr>
          <w:p>
            <w:r>
              <w:rPr>
                <w:rFonts w:ascii="Times New Roman" w:hAnsi="Times New Roman"/>
                <w:sz w:val="20"/>
              </w:rPr>
              <w:t>Vergleich Eigentumsvorbehalte Prignitz Forst</w:t>
            </w:r>
          </w:p>
        </w:tc>
        <w:tc>
          <w:tcPr>
            <w:tcW w:type="dxa" w:w="4536"/>
          </w:tcPr>
          <w:p>
            <w:r>
              <w:rPr>
                <w:rFonts w:ascii="Times New Roman" w:hAnsi="Times New Roman"/>
                <w:sz w:val="20"/>
              </w:rPr>
              <w:t>38.000,00</w:t>
            </w:r>
          </w:p>
        </w:tc>
      </w:tr>
      <w:tr>
        <w:tc>
          <w:tcPr>
            <w:tcW w:type="dxa" w:w="4536"/>
          </w:tcPr>
          <w:p>
            <w:r>
              <w:rPr>
                <w:rFonts w:ascii="Times New Roman" w:hAnsi="Times New Roman"/>
                <w:sz w:val="20"/>
              </w:rPr>
              <w:t>D&amp;O-Vergleich (§ 15b / § 43 GmbHG)</w:t>
            </w:r>
          </w:p>
        </w:tc>
        <w:tc>
          <w:tcPr>
            <w:tcW w:type="dxa" w:w="4536"/>
          </w:tcPr>
          <w:p>
            <w:r>
              <w:rPr>
                <w:rFonts w:ascii="Times New Roman" w:hAnsi="Times New Roman"/>
                <w:sz w:val="20"/>
              </w:rPr>
              <w:t>115.000,00</w:t>
            </w:r>
          </w:p>
        </w:tc>
      </w:tr>
      <w:tr>
        <w:tc>
          <w:tcPr>
            <w:tcW w:type="dxa" w:w="4536"/>
          </w:tcPr>
          <w:p>
            <w:r>
              <w:rPr>
                <w:rFonts w:ascii="Times New Roman" w:hAnsi="Times New Roman"/>
                <w:sz w:val="20"/>
              </w:rPr>
              <w:t>Anfechtungsvergleiche (A-1 bis A-4 gesamt)</w:t>
            </w:r>
          </w:p>
        </w:tc>
        <w:tc>
          <w:tcPr>
            <w:tcW w:type="dxa" w:w="4536"/>
          </w:tcPr>
          <w:p>
            <w:r>
              <w:rPr>
                <w:rFonts w:ascii="Times New Roman" w:hAnsi="Times New Roman"/>
                <w:sz w:val="20"/>
              </w:rPr>
              <w:t>41.000,00</w:t>
            </w:r>
          </w:p>
        </w:tc>
      </w:tr>
      <w:tr>
        <w:tc>
          <w:tcPr>
            <w:tcW w:type="dxa" w:w="4536"/>
          </w:tcPr>
          <w:p>
            <w:r>
              <w:rPr>
                <w:rFonts w:ascii="Times New Roman" w:hAnsi="Times New Roman"/>
                <w:sz w:val="20"/>
              </w:rPr>
              <w:t>Steuererstattung KSt/GewSt 2026</w:t>
            </w:r>
          </w:p>
        </w:tc>
        <w:tc>
          <w:tcPr>
            <w:tcW w:type="dxa" w:w="4536"/>
          </w:tcPr>
          <w:p>
            <w:r>
              <w:rPr>
                <w:rFonts w:ascii="Times New Roman" w:hAnsi="Times New Roman"/>
                <w:sz w:val="20"/>
              </w:rPr>
              <w:t>14.200,00</w:t>
            </w:r>
          </w:p>
        </w:tc>
      </w:tr>
      <w:tr>
        <w:tc>
          <w:tcPr>
            <w:tcW w:type="dxa" w:w="4536"/>
          </w:tcPr>
          <w:p>
            <w:r>
              <w:rPr>
                <w:rFonts w:ascii="Times New Roman" w:hAnsi="Times New Roman"/>
                <w:b/>
                <w:sz w:val="20"/>
              </w:rPr>
              <w:t>Gesamteinnahmen</w:t>
            </w:r>
          </w:p>
        </w:tc>
        <w:tc>
          <w:tcPr>
            <w:tcW w:type="dxa" w:w="4536"/>
          </w:tcPr>
          <w:p>
            <w:r>
              <w:rPr>
                <w:rFonts w:ascii="Times New Roman" w:hAnsi="Times New Roman"/>
                <w:b/>
                <w:sz w:val="20"/>
              </w:rPr>
              <w:t>777.830,00</w:t>
            </w:r>
          </w:p>
        </w:tc>
      </w:tr>
    </w:tbl>
    <w:p>
      <w:pPr>
        <w:pStyle w:val="Heading3"/>
      </w:pPr>
      <w:r>
        <w:rPr>
          <w:rFonts w:ascii="Times New Roman" w:hAnsi="Times New Roman"/>
        </w:rPr>
        <w:t>II.2 Ausgaben (Masseverbindlichkeiten und Kosten)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Betriebsfortführungskosten</w:t>
            </w:r>
          </w:p>
        </w:tc>
        <w:tc>
          <w:tcPr>
            <w:tcW w:type="dxa" w:w="4536"/>
          </w:tcPr>
          <w:p>
            <w:r>
              <w:rPr>
                <w:rFonts w:ascii="Times New Roman" w:hAnsi="Times New Roman"/>
                <w:sz w:val="20"/>
              </w:rPr>
              <w:t>43.200,00</w:t>
            </w:r>
          </w:p>
        </w:tc>
      </w:tr>
      <w:tr>
        <w:tc>
          <w:tcPr>
            <w:tcW w:type="dxa" w:w="4536"/>
          </w:tcPr>
          <w:p>
            <w:r>
              <w:rPr>
                <w:rFonts w:ascii="Times New Roman" w:hAnsi="Times New Roman"/>
                <w:sz w:val="20"/>
              </w:rPr>
              <w:t>Lohnzahlungen Fortführungsphase (Mai–Juni 2026)</w:t>
            </w:r>
          </w:p>
        </w:tc>
        <w:tc>
          <w:tcPr>
            <w:tcW w:type="dxa" w:w="4536"/>
          </w:tcPr>
          <w:p>
            <w:r>
              <w:rPr>
                <w:rFonts w:ascii="Times New Roman" w:hAnsi="Times New Roman"/>
                <w:sz w:val="20"/>
              </w:rPr>
              <w:t>24.800,00</w:t>
            </w:r>
          </w:p>
        </w:tc>
      </w:tr>
      <w:tr>
        <w:tc>
          <w:tcPr>
            <w:tcW w:type="dxa" w:w="4536"/>
          </w:tcPr>
          <w:p>
            <w:r>
              <w:rPr>
                <w:rFonts w:ascii="Times New Roman" w:hAnsi="Times New Roman"/>
                <w:sz w:val="20"/>
              </w:rPr>
              <w:t>Insolvenzgeldvorfinanzierung (Rückzahlung an Vorfinanzierer)</w:t>
            </w:r>
          </w:p>
        </w:tc>
        <w:tc>
          <w:tcPr>
            <w:tcW w:type="dxa" w:w="4536"/>
          </w:tcPr>
          <w:p>
            <w:r>
              <w:rPr>
                <w:rFonts w:ascii="Times New Roman" w:hAnsi="Times New Roman"/>
                <w:sz w:val="20"/>
              </w:rPr>
              <w:t>236.000,00</w:t>
            </w:r>
          </w:p>
        </w:tc>
      </w:tr>
      <w:tr>
        <w:tc>
          <w:tcPr>
            <w:tcW w:type="dxa" w:w="4536"/>
          </w:tcPr>
          <w:p>
            <w:r>
              <w:rPr>
                <w:rFonts w:ascii="Times New Roman" w:hAnsi="Times New Roman"/>
                <w:sz w:val="20"/>
              </w:rPr>
              <w:t>Masseverbindlichkeiten Lieferanten</w:t>
            </w:r>
          </w:p>
        </w:tc>
        <w:tc>
          <w:tcPr>
            <w:tcW w:type="dxa" w:w="4536"/>
          </w:tcPr>
          <w:p>
            <w:r>
              <w:rPr>
                <w:rFonts w:ascii="Times New Roman" w:hAnsi="Times New Roman"/>
                <w:sz w:val="20"/>
              </w:rPr>
              <w:t>42.000,00</w:t>
            </w:r>
          </w:p>
        </w:tc>
      </w:tr>
      <w:tr>
        <w:tc>
          <w:tcPr>
            <w:tcW w:type="dxa" w:w="4536"/>
          </w:tcPr>
          <w:p>
            <w:r>
              <w:rPr>
                <w:rFonts w:ascii="Times New Roman" w:hAnsi="Times New Roman"/>
                <w:sz w:val="20"/>
              </w:rPr>
              <w:t>Masseverbindlichkeiten Miete (Mai–Juni 2026)</w:t>
            </w:r>
          </w:p>
        </w:tc>
        <w:tc>
          <w:tcPr>
            <w:tcW w:type="dxa" w:w="4536"/>
          </w:tcPr>
          <w:p>
            <w:r>
              <w:rPr>
                <w:rFonts w:ascii="Times New Roman" w:hAnsi="Times New Roman"/>
                <w:sz w:val="20"/>
              </w:rPr>
              <w:t>18.000,00</w:t>
            </w:r>
          </w:p>
        </w:tc>
      </w:tr>
      <w:tr>
        <w:tc>
          <w:tcPr>
            <w:tcW w:type="dxa" w:w="4536"/>
          </w:tcPr>
          <w:p>
            <w:r>
              <w:rPr>
                <w:rFonts w:ascii="Times New Roman" w:hAnsi="Times New Roman"/>
                <w:sz w:val="20"/>
              </w:rPr>
              <w:t>Masseverbindlichkeiten Steuer (USt Fortführung)</w:t>
            </w:r>
          </w:p>
        </w:tc>
        <w:tc>
          <w:tcPr>
            <w:tcW w:type="dxa" w:w="4536"/>
          </w:tcPr>
          <w:p>
            <w:r>
              <w:rPr>
                <w:rFonts w:ascii="Times New Roman" w:hAnsi="Times New Roman"/>
                <w:sz w:val="20"/>
              </w:rPr>
              <w:t>21.000,00</w:t>
            </w:r>
          </w:p>
        </w:tc>
      </w:tr>
      <w:tr>
        <w:tc>
          <w:tcPr>
            <w:tcW w:type="dxa" w:w="4536"/>
          </w:tcPr>
          <w:p>
            <w:r>
              <w:rPr>
                <w:rFonts w:ascii="Times New Roman" w:hAnsi="Times New Roman"/>
                <w:sz w:val="20"/>
              </w:rPr>
              <w:t>Kosten Sachverständigengutachten</w:t>
            </w:r>
          </w:p>
        </w:tc>
        <w:tc>
          <w:tcPr>
            <w:tcW w:type="dxa" w:w="4536"/>
          </w:tcPr>
          <w:p>
            <w:r>
              <w:rPr>
                <w:rFonts w:ascii="Times New Roman" w:hAnsi="Times New Roman"/>
                <w:sz w:val="20"/>
              </w:rPr>
              <w:t>6.600,00</w:t>
            </w:r>
          </w:p>
        </w:tc>
      </w:tr>
      <w:tr>
        <w:tc>
          <w:tcPr>
            <w:tcW w:type="dxa" w:w="4536"/>
          </w:tcPr>
          <w:p>
            <w:r>
              <w:rPr>
                <w:rFonts w:ascii="Times New Roman" w:hAnsi="Times New Roman"/>
                <w:sz w:val="20"/>
              </w:rPr>
              <w:t>Kosten Auktionshaus und Händler (Provision 4 %)</w:t>
            </w:r>
          </w:p>
        </w:tc>
        <w:tc>
          <w:tcPr>
            <w:tcW w:type="dxa" w:w="4536"/>
          </w:tcPr>
          <w:p>
            <w:r>
              <w:rPr>
                <w:rFonts w:ascii="Times New Roman" w:hAnsi="Times New Roman"/>
                <w:sz w:val="20"/>
              </w:rPr>
              <w:t>12.040,00</w:t>
            </w:r>
          </w:p>
        </w:tc>
      </w:tr>
      <w:tr>
        <w:tc>
          <w:tcPr>
            <w:tcW w:type="dxa" w:w="4536"/>
          </w:tcPr>
          <w:p>
            <w:r>
              <w:rPr>
                <w:rFonts w:ascii="Times New Roman" w:hAnsi="Times New Roman"/>
                <w:sz w:val="20"/>
              </w:rPr>
              <w:t>Gerichtskosten (Eröffnungsgebühr, Laufzeit)</w:t>
            </w:r>
          </w:p>
        </w:tc>
        <w:tc>
          <w:tcPr>
            <w:tcW w:type="dxa" w:w="4536"/>
          </w:tcPr>
          <w:p>
            <w:r>
              <w:rPr>
                <w:rFonts w:ascii="Times New Roman" w:hAnsi="Times New Roman"/>
                <w:sz w:val="20"/>
              </w:rPr>
              <w:t>8.200,00</w:t>
            </w:r>
          </w:p>
        </w:tc>
      </w:tr>
      <w:tr>
        <w:tc>
          <w:tcPr>
            <w:tcW w:type="dxa" w:w="4536"/>
          </w:tcPr>
          <w:p>
            <w:r>
              <w:rPr>
                <w:rFonts w:ascii="Times New Roman" w:hAnsi="Times New Roman"/>
                <w:sz w:val="20"/>
              </w:rPr>
              <w:t>Kosten Insolvenzbekanntmachung, Zustellungen</w:t>
            </w:r>
          </w:p>
        </w:tc>
        <w:tc>
          <w:tcPr>
            <w:tcW w:type="dxa" w:w="4536"/>
          </w:tcPr>
          <w:p>
            <w:r>
              <w:rPr>
                <w:rFonts w:ascii="Times New Roman" w:hAnsi="Times New Roman"/>
                <w:sz w:val="20"/>
              </w:rPr>
              <w:t>1.400,00</w:t>
            </w:r>
          </w:p>
        </w:tc>
      </w:tr>
      <w:tr>
        <w:tc>
          <w:tcPr>
            <w:tcW w:type="dxa" w:w="4536"/>
          </w:tcPr>
          <w:p>
            <w:r>
              <w:rPr>
                <w:rFonts w:ascii="Times New Roman" w:hAnsi="Times New Roman"/>
                <w:sz w:val="20"/>
              </w:rPr>
              <w:t>Vergütung Insolvenzverwalterin (inkl. MwSt., festges. durch Gericht)</w:t>
            </w:r>
          </w:p>
        </w:tc>
        <w:tc>
          <w:tcPr>
            <w:tcW w:type="dxa" w:w="4536"/>
          </w:tcPr>
          <w:p>
            <w:r>
              <w:rPr>
                <w:rFonts w:ascii="Times New Roman" w:hAnsi="Times New Roman"/>
                <w:sz w:val="20"/>
              </w:rPr>
              <w:t>74.800,00</w:t>
            </w:r>
          </w:p>
        </w:tc>
      </w:tr>
      <w:tr>
        <w:tc>
          <w:tcPr>
            <w:tcW w:type="dxa" w:w="4536"/>
          </w:tcPr>
          <w:p>
            <w:r>
              <w:rPr>
                <w:rFonts w:ascii="Times New Roman" w:hAnsi="Times New Roman"/>
                <w:b/>
                <w:sz w:val="20"/>
              </w:rPr>
              <w:t>Gesamtausgaben</w:t>
            </w:r>
          </w:p>
        </w:tc>
        <w:tc>
          <w:tcPr>
            <w:tcW w:type="dxa" w:w="4536"/>
          </w:tcPr>
          <w:p>
            <w:r>
              <w:rPr>
                <w:rFonts w:ascii="Times New Roman" w:hAnsi="Times New Roman"/>
                <w:b/>
                <w:sz w:val="20"/>
              </w:rPr>
              <w:t>488.040,00</w:t>
            </w:r>
          </w:p>
        </w:tc>
      </w:tr>
    </w:tbl>
    <w:p>
      <w:pPr>
        <w:pStyle w:val="Heading3"/>
      </w:pPr>
      <w:r>
        <w:rPr>
          <w:rFonts w:ascii="Times New Roman" w:hAnsi="Times New Roman"/>
        </w:rPr>
        <w:t>II.3 Verteilungsmasse</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r>
              <w:rPr>
                <w:rFonts w:ascii="Times New Roman" w:hAnsi="Times New Roman"/>
                <w:b/>
                <w:sz w:val="20"/>
              </w:rPr>
              <w:t>Betrag (EUR)</w:t>
            </w:r>
          </w:p>
        </w:tc>
      </w:tr>
      <w:tr>
        <w:tc>
          <w:tcPr>
            <w:tcW w:type="dxa" w:w="4536"/>
          </w:tcPr>
          <w:p>
            <w:r>
              <w:rPr>
                <w:rFonts w:ascii="Times New Roman" w:hAnsi="Times New Roman"/>
                <w:sz w:val="20"/>
              </w:rPr>
              <w:t>Gesamteinnahmen</w:t>
            </w:r>
          </w:p>
        </w:tc>
        <w:tc>
          <w:tcPr>
            <w:tcW w:type="dxa" w:w="4536"/>
          </w:tcPr>
          <w:p>
            <w:r>
              <w:rPr>
                <w:rFonts w:ascii="Times New Roman" w:hAnsi="Times New Roman"/>
                <w:sz w:val="20"/>
              </w:rPr>
              <w:t>777.830,00</w:t>
            </w:r>
          </w:p>
        </w:tc>
      </w:tr>
      <w:tr>
        <w:tc>
          <w:tcPr>
            <w:tcW w:type="dxa" w:w="4536"/>
          </w:tcPr>
          <w:p>
            <w:r>
              <w:rPr>
                <w:rFonts w:ascii="Times New Roman" w:hAnsi="Times New Roman"/>
                <w:sz w:val="20"/>
              </w:rPr>
              <w:t>./. Gesamtausgaben</w:t>
            </w:r>
          </w:p>
        </w:tc>
        <w:tc>
          <w:tcPr>
            <w:tcW w:type="dxa" w:w="4536"/>
          </w:tcPr>
          <w:p>
            <w:r>
              <w:rPr>
                <w:rFonts w:ascii="Times New Roman" w:hAnsi="Times New Roman"/>
                <w:sz w:val="20"/>
              </w:rPr>
              <w:t>–488.040,00</w:t>
            </w:r>
          </w:p>
        </w:tc>
      </w:tr>
      <w:tr>
        <w:tc>
          <w:tcPr>
            <w:tcW w:type="dxa" w:w="4536"/>
          </w:tcPr>
          <w:p>
            <w:r>
              <w:rPr>
                <w:rFonts w:ascii="Times New Roman" w:hAnsi="Times New Roman"/>
                <w:b/>
                <w:sz w:val="20"/>
              </w:rPr>
              <w:t>Verbleibende Verteilungsmasse</w:t>
            </w:r>
          </w:p>
        </w:tc>
        <w:tc>
          <w:tcPr>
            <w:tcW w:type="dxa" w:w="4536"/>
          </w:tcPr>
          <w:p>
            <w:r>
              <w:rPr>
                <w:rFonts w:ascii="Times New Roman" w:hAnsi="Times New Roman"/>
                <w:b/>
                <w:sz w:val="20"/>
              </w:rPr>
              <w:t>289.790,00</w:t>
            </w:r>
          </w:p>
        </w:tc>
      </w:tr>
    </w:tbl>
    <w:p>
      <w:pPr>
        <w:jc w:val="left"/>
      </w:pPr>
      <w:r>
        <w:t xml:space="preserve">Davon fließen </w:t>
      </w:r>
      <w:r>
        <w:rPr>
          <w:b/>
        </w:rPr>
        <w:t>ca. 136.500 EUR</w:t>
      </w:r>
      <w:r>
        <w:t xml:space="preserve"> als Nettoverwertungserlös aus dem Absonderungsgut an die Havelbank eG (Maschinenverwertung + Forderungseinzug ./. Kostenpauschalen §§ 170, 171 InsO). Diese verbleiben nicht in der Verteilungsmasse für ungesicherte Gläubiger.</w:t>
      </w:r>
    </w:p>
    <w:p>
      <w:pPr>
        <w:jc w:val="left"/>
      </w:pPr>
      <w:r>
        <w:rPr>
          <w:b/>
        </w:rPr>
        <w:t>Verteilungsmasse für ungesicherte Gläubiger (§ 38 InsO):</w:t>
      </w:r>
      <w:r>
        <w:t xml:space="preserve"> </w:t>
      </w:r>
      <w:r>
        <w:rPr>
          <w:b/>
        </w:rPr>
        <w:t>289.790,00 EUR</w:t>
      </w:r>
    </w:p>
    <w:p/>
    <w:p>
      <w:pPr>
        <w:pStyle w:val="Heading2"/>
      </w:pPr>
      <w:r>
        <w:rPr>
          <w:rFonts w:ascii="Times New Roman" w:hAnsi="Times New Roman"/>
        </w:rPr>
        <w:t>III. Forderungstabelle und Verteilung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Nr.</w:t>
            </w:r>
          </w:p>
        </w:tc>
        <w:tc>
          <w:tcPr>
            <w:tcW w:type="dxa" w:w="1512"/>
          </w:tcPr>
          <w:p>
            <w:r>
              <w:rPr>
                <w:rFonts w:ascii="Times New Roman" w:hAnsi="Times New Roman"/>
                <w:b/>
                <w:sz w:val="20"/>
              </w:rPr>
              <w:t>Gläubiger</w:t>
            </w:r>
          </w:p>
        </w:tc>
        <w:tc>
          <w:tcPr>
            <w:tcW w:type="dxa" w:w="1512"/>
          </w:tcPr>
          <w:p>
            <w:r>
              <w:rPr>
                <w:rFonts w:ascii="Times New Roman" w:hAnsi="Times New Roman"/>
                <w:b/>
                <w:sz w:val="20"/>
              </w:rPr>
              <w:t>Angemeldet (EUR)</w:t>
            </w:r>
          </w:p>
        </w:tc>
        <w:tc>
          <w:tcPr>
            <w:tcW w:type="dxa" w:w="1512"/>
          </w:tcPr>
          <w:p>
            <w:r>
              <w:rPr>
                <w:rFonts w:ascii="Times New Roman" w:hAnsi="Times New Roman"/>
                <w:b/>
                <w:sz w:val="20"/>
              </w:rPr>
              <w:t>Festgestellt (EUR)</w:t>
            </w:r>
          </w:p>
        </w:tc>
        <w:tc>
          <w:tcPr>
            <w:tcW w:type="dxa" w:w="1512"/>
          </w:tcPr>
          <w:p>
            <w:r>
              <w:rPr>
                <w:rFonts w:ascii="Times New Roman" w:hAnsi="Times New Roman"/>
                <w:b/>
                <w:sz w:val="20"/>
              </w:rPr>
              <w:t>Quote (%)</w:t>
            </w:r>
          </w:p>
        </w:tc>
        <w:tc>
          <w:tcPr>
            <w:tcW w:type="dxa" w:w="1512"/>
          </w:tcPr>
          <w:p>
            <w:r>
              <w:rPr>
                <w:rFonts w:ascii="Times New Roman" w:hAnsi="Times New Roman"/>
                <w:b/>
                <w:sz w:val="20"/>
              </w:rPr>
              <w:t>Auszahlung (EUR)</w:t>
            </w:r>
          </w:p>
        </w:tc>
      </w:tr>
      <w:tr>
        <w:tc>
          <w:tcPr>
            <w:tcW w:type="dxa" w:w="1512"/>
          </w:tcPr>
          <w:p>
            <w:r>
              <w:rPr>
                <w:rFonts w:ascii="Times New Roman" w:hAnsi="Times New Roman"/>
                <w:sz w:val="20"/>
              </w:rPr>
              <w:t>1</w:t>
            </w:r>
          </w:p>
        </w:tc>
        <w:tc>
          <w:tcPr>
            <w:tcW w:type="dxa" w:w="1512"/>
          </w:tcPr>
          <w:p>
            <w:r>
              <w:rPr>
                <w:rFonts w:ascii="Times New Roman" w:hAnsi="Times New Roman"/>
                <w:sz w:val="20"/>
              </w:rPr>
              <w:t>Furnier Nord GmbH</w:t>
            </w:r>
          </w:p>
        </w:tc>
        <w:tc>
          <w:tcPr>
            <w:tcW w:type="dxa" w:w="1512"/>
          </w:tcPr>
          <w:p>
            <w:r>
              <w:rPr>
                <w:rFonts w:ascii="Times New Roman" w:hAnsi="Times New Roman"/>
                <w:sz w:val="20"/>
              </w:rPr>
              <w:t>186.420</w:t>
            </w:r>
          </w:p>
        </w:tc>
        <w:tc>
          <w:tcPr>
            <w:tcW w:type="dxa" w:w="1512"/>
          </w:tcPr>
          <w:p>
            <w:r>
              <w:rPr>
                <w:rFonts w:ascii="Times New Roman" w:hAnsi="Times New Roman"/>
                <w:sz w:val="20"/>
              </w:rPr>
              <w:t>186.420</w:t>
            </w:r>
          </w:p>
        </w:tc>
        <w:tc>
          <w:tcPr>
            <w:tcW w:type="dxa" w:w="1512"/>
          </w:tcPr>
          <w:p>
            <w:r>
              <w:rPr>
                <w:rFonts w:ascii="Times New Roman" w:hAnsi="Times New Roman"/>
                <w:sz w:val="20"/>
              </w:rPr>
              <w:t>18,4</w:t>
            </w:r>
          </w:p>
        </w:tc>
        <w:tc>
          <w:tcPr>
            <w:tcW w:type="dxa" w:w="1512"/>
          </w:tcPr>
          <w:p>
            <w:r>
              <w:rPr>
                <w:rFonts w:ascii="Times New Roman" w:hAnsi="Times New Roman"/>
                <w:sz w:val="20"/>
              </w:rPr>
              <w:t>34.305,00</w:t>
            </w:r>
          </w:p>
        </w:tc>
      </w:tr>
      <w:tr>
        <w:tc>
          <w:tcPr>
            <w:tcW w:type="dxa" w:w="1512"/>
          </w:tcPr>
          <w:p>
            <w:r>
              <w:rPr>
                <w:rFonts w:ascii="Times New Roman" w:hAnsi="Times New Roman"/>
                <w:sz w:val="20"/>
              </w:rPr>
              <w:t>2</w:t>
            </w:r>
          </w:p>
        </w:tc>
        <w:tc>
          <w:tcPr>
            <w:tcW w:type="dxa" w:w="1512"/>
          </w:tcPr>
          <w:p>
            <w:r>
              <w:rPr>
                <w:rFonts w:ascii="Times New Roman" w:hAnsi="Times New Roman"/>
                <w:sz w:val="20"/>
              </w:rPr>
              <w:t>Havelbank eG (Ausfallforderung)</w:t>
            </w:r>
          </w:p>
        </w:tc>
        <w:tc>
          <w:tcPr>
            <w:tcW w:type="dxa" w:w="1512"/>
          </w:tcPr>
          <w:p>
            <w:r>
              <w:rPr>
                <w:rFonts w:ascii="Times New Roman" w:hAnsi="Times New Roman"/>
                <w:sz w:val="20"/>
              </w:rPr>
              <w:t>136.500</w:t>
            </w:r>
          </w:p>
        </w:tc>
        <w:tc>
          <w:tcPr>
            <w:tcW w:type="dxa" w:w="1512"/>
          </w:tcPr>
          <w:p>
            <w:r>
              <w:rPr>
                <w:rFonts w:ascii="Times New Roman" w:hAnsi="Times New Roman"/>
                <w:sz w:val="20"/>
              </w:rPr>
              <w:t>136.500</w:t>
            </w:r>
          </w:p>
        </w:tc>
        <w:tc>
          <w:tcPr>
            <w:tcW w:type="dxa" w:w="1512"/>
          </w:tcPr>
          <w:p>
            <w:r>
              <w:rPr>
                <w:rFonts w:ascii="Times New Roman" w:hAnsi="Times New Roman"/>
                <w:sz w:val="20"/>
              </w:rPr>
              <w:t>18,4</w:t>
            </w:r>
          </w:p>
        </w:tc>
        <w:tc>
          <w:tcPr>
            <w:tcW w:type="dxa" w:w="1512"/>
          </w:tcPr>
          <w:p>
            <w:r>
              <w:rPr>
                <w:rFonts w:ascii="Times New Roman" w:hAnsi="Times New Roman"/>
                <w:sz w:val="20"/>
              </w:rPr>
              <w:t>25.116,00</w:t>
            </w:r>
          </w:p>
        </w:tc>
      </w:tr>
      <w:tr>
        <w:tc>
          <w:tcPr>
            <w:tcW w:type="dxa" w:w="1512"/>
          </w:tcPr>
          <w:p>
            <w:r>
              <w:rPr>
                <w:rFonts w:ascii="Times New Roman" w:hAnsi="Times New Roman"/>
                <w:sz w:val="20"/>
              </w:rPr>
              <w:t>3</w:t>
            </w:r>
          </w:p>
        </w:tc>
        <w:tc>
          <w:tcPr>
            <w:tcW w:type="dxa" w:w="1512"/>
          </w:tcPr>
          <w:p>
            <w:r>
              <w:rPr>
                <w:rFonts w:ascii="Times New Roman" w:hAnsi="Times New Roman"/>
                <w:sz w:val="20"/>
              </w:rPr>
              <w:t>Finanzamt Stendal</w:t>
            </w:r>
          </w:p>
        </w:tc>
        <w:tc>
          <w:tcPr>
            <w:tcW w:type="dxa" w:w="1512"/>
          </w:tcPr>
          <w:p>
            <w:r>
              <w:rPr>
                <w:rFonts w:ascii="Times New Roman" w:hAnsi="Times New Roman"/>
                <w:sz w:val="20"/>
              </w:rPr>
              <w:t>92.340</w:t>
            </w:r>
          </w:p>
        </w:tc>
        <w:tc>
          <w:tcPr>
            <w:tcW w:type="dxa" w:w="1512"/>
          </w:tcPr>
          <w:p>
            <w:r>
              <w:rPr>
                <w:rFonts w:ascii="Times New Roman" w:hAnsi="Times New Roman"/>
                <w:sz w:val="20"/>
              </w:rPr>
              <w:t>92.340</w:t>
            </w:r>
          </w:p>
        </w:tc>
        <w:tc>
          <w:tcPr>
            <w:tcW w:type="dxa" w:w="1512"/>
          </w:tcPr>
          <w:p>
            <w:r>
              <w:rPr>
                <w:rFonts w:ascii="Times New Roman" w:hAnsi="Times New Roman"/>
                <w:sz w:val="20"/>
              </w:rPr>
              <w:t>18,4</w:t>
            </w:r>
          </w:p>
        </w:tc>
        <w:tc>
          <w:tcPr>
            <w:tcW w:type="dxa" w:w="1512"/>
          </w:tcPr>
          <w:p>
            <w:r>
              <w:rPr>
                <w:rFonts w:ascii="Times New Roman" w:hAnsi="Times New Roman"/>
                <w:sz w:val="20"/>
              </w:rPr>
              <w:t>16.990,56</w:t>
            </w:r>
          </w:p>
        </w:tc>
      </w:tr>
      <w:tr>
        <w:tc>
          <w:tcPr>
            <w:tcW w:type="dxa" w:w="1512"/>
          </w:tcPr>
          <w:p>
            <w:r>
              <w:rPr>
                <w:rFonts w:ascii="Times New Roman" w:hAnsi="Times New Roman"/>
                <w:sz w:val="20"/>
              </w:rPr>
              <w:t>4</w:t>
            </w:r>
          </w:p>
        </w:tc>
        <w:tc>
          <w:tcPr>
            <w:tcW w:type="dxa" w:w="1512"/>
          </w:tcPr>
          <w:p>
            <w:r>
              <w:rPr>
                <w:rFonts w:ascii="Times New Roman" w:hAnsi="Times New Roman"/>
                <w:sz w:val="20"/>
              </w:rPr>
              <w:t>AOK Sachsen-Anhalt</w:t>
            </w:r>
          </w:p>
        </w:tc>
        <w:tc>
          <w:tcPr>
            <w:tcW w:type="dxa" w:w="1512"/>
          </w:tcPr>
          <w:p>
            <w:r>
              <w:rPr>
                <w:rFonts w:ascii="Times New Roman" w:hAnsi="Times New Roman"/>
                <w:sz w:val="20"/>
              </w:rPr>
              <w:t>61.200</w:t>
            </w:r>
          </w:p>
        </w:tc>
        <w:tc>
          <w:tcPr>
            <w:tcW w:type="dxa" w:w="1512"/>
          </w:tcPr>
          <w:p>
            <w:r>
              <w:rPr>
                <w:rFonts w:ascii="Times New Roman" w:hAnsi="Times New Roman"/>
                <w:sz w:val="20"/>
              </w:rPr>
              <w:t>61.200</w:t>
            </w:r>
          </w:p>
        </w:tc>
        <w:tc>
          <w:tcPr>
            <w:tcW w:type="dxa" w:w="1512"/>
          </w:tcPr>
          <w:p>
            <w:r>
              <w:rPr>
                <w:rFonts w:ascii="Times New Roman" w:hAnsi="Times New Roman"/>
                <w:sz w:val="20"/>
              </w:rPr>
              <w:t>18,4</w:t>
            </w:r>
          </w:p>
        </w:tc>
        <w:tc>
          <w:tcPr>
            <w:tcW w:type="dxa" w:w="1512"/>
          </w:tcPr>
          <w:p>
            <w:r>
              <w:rPr>
                <w:rFonts w:ascii="Times New Roman" w:hAnsi="Times New Roman"/>
                <w:sz w:val="20"/>
              </w:rPr>
              <w:t>11.260,80</w:t>
            </w:r>
          </w:p>
        </w:tc>
      </w:tr>
      <w:tr>
        <w:tc>
          <w:tcPr>
            <w:tcW w:type="dxa" w:w="1512"/>
          </w:tcPr>
          <w:p>
            <w:r>
              <w:rPr>
                <w:rFonts w:ascii="Times New Roman" w:hAnsi="Times New Roman"/>
                <w:sz w:val="20"/>
              </w:rPr>
              <w:t>5</w:t>
            </w:r>
          </w:p>
        </w:tc>
        <w:tc>
          <w:tcPr>
            <w:tcW w:type="dxa" w:w="1512"/>
          </w:tcPr>
          <w:p>
            <w:r>
              <w:rPr>
                <w:rFonts w:ascii="Times New Roman" w:hAnsi="Times New Roman"/>
                <w:sz w:val="20"/>
              </w:rPr>
              <w:t>M. Kordes</w:t>
            </w:r>
          </w:p>
        </w:tc>
        <w:tc>
          <w:tcPr>
            <w:tcW w:type="dxa" w:w="1512"/>
          </w:tcPr>
          <w:p>
            <w:r>
              <w:rPr>
                <w:rFonts w:ascii="Times New Roman" w:hAnsi="Times New Roman"/>
                <w:sz w:val="20"/>
              </w:rPr>
              <w:t>7.800</w:t>
            </w:r>
          </w:p>
        </w:tc>
        <w:tc>
          <w:tcPr>
            <w:tcW w:type="dxa" w:w="1512"/>
          </w:tcPr>
          <w:p>
            <w:r>
              <w:rPr>
                <w:rFonts w:ascii="Times New Roman" w:hAnsi="Times New Roman"/>
                <w:sz w:val="20"/>
              </w:rPr>
              <w:t>0</w:t>
            </w:r>
          </w:p>
        </w:tc>
        <w:tc>
          <w:tcPr>
            <w:tcW w:type="dxa" w:w="1512"/>
          </w:tcPr>
          <w:p>
            <w:r>
              <w:rPr>
                <w:rFonts w:ascii="Times New Roman" w:hAnsi="Times New Roman"/>
                <w:sz w:val="20"/>
              </w:rPr>
              <w:t>–</w:t>
            </w:r>
          </w:p>
        </w:tc>
        <w:tc>
          <w:tcPr>
            <w:tcW w:type="dxa" w:w="1512"/>
          </w:tcPr>
          <w:p>
            <w:r>
              <w:rPr>
                <w:rFonts w:ascii="Times New Roman" w:hAnsi="Times New Roman"/>
                <w:sz w:val="20"/>
              </w:rPr>
              <w:t>0</w:t>
            </w:r>
          </w:p>
        </w:tc>
      </w:tr>
      <w:tr>
        <w:tc>
          <w:tcPr>
            <w:tcW w:type="dxa" w:w="1512"/>
          </w:tcPr>
          <w:p>
            <w:r>
              <w:rPr>
                <w:rFonts w:ascii="Times New Roman" w:hAnsi="Times New Roman"/>
                <w:sz w:val="20"/>
              </w:rPr>
              <w:t>6</w:t>
            </w:r>
          </w:p>
        </w:tc>
        <w:tc>
          <w:tcPr>
            <w:tcW w:type="dxa" w:w="1512"/>
          </w:tcPr>
          <w:p>
            <w:r>
              <w:rPr>
                <w:rFonts w:ascii="Times New Roman" w:hAnsi="Times New Roman"/>
                <w:sz w:val="20"/>
              </w:rPr>
              <w:t>Prignitz Forst KG</w:t>
            </w:r>
          </w:p>
        </w:tc>
        <w:tc>
          <w:tcPr>
            <w:tcW w:type="dxa" w:w="1512"/>
          </w:tcPr>
          <w:p>
            <w:r>
              <w:rPr>
                <w:rFonts w:ascii="Times New Roman" w:hAnsi="Times New Roman"/>
                <w:sz w:val="20"/>
              </w:rPr>
              <w:t>43.700</w:t>
            </w:r>
          </w:p>
        </w:tc>
        <w:tc>
          <w:tcPr>
            <w:tcW w:type="dxa" w:w="1512"/>
          </w:tcPr>
          <w:p>
            <w:r>
              <w:rPr>
                <w:rFonts w:ascii="Times New Roman" w:hAnsi="Times New Roman"/>
                <w:sz w:val="20"/>
              </w:rPr>
              <w:t>43.700</w:t>
            </w:r>
          </w:p>
        </w:tc>
        <w:tc>
          <w:tcPr>
            <w:tcW w:type="dxa" w:w="1512"/>
          </w:tcPr>
          <w:p>
            <w:r>
              <w:rPr>
                <w:rFonts w:ascii="Times New Roman" w:hAnsi="Times New Roman"/>
                <w:sz w:val="20"/>
              </w:rPr>
              <w:t>18,4</w:t>
            </w:r>
          </w:p>
        </w:tc>
        <w:tc>
          <w:tcPr>
            <w:tcW w:type="dxa" w:w="1512"/>
          </w:tcPr>
          <w:p>
            <w:r>
              <w:rPr>
                <w:rFonts w:ascii="Times New Roman" w:hAnsi="Times New Roman"/>
                <w:sz w:val="20"/>
              </w:rPr>
              <w:t>8.040,80</w:t>
            </w:r>
          </w:p>
        </w:tc>
      </w:tr>
      <w:tr>
        <w:tc>
          <w:tcPr>
            <w:tcW w:type="dxa" w:w="1512"/>
          </w:tcPr>
          <w:p>
            <w:r>
              <w:rPr>
                <w:rFonts w:ascii="Times New Roman" w:hAnsi="Times New Roman"/>
                <w:sz w:val="20"/>
              </w:rPr>
              <w:t>7</w:t>
            </w:r>
          </w:p>
        </w:tc>
        <w:tc>
          <w:tcPr>
            <w:tcW w:type="dxa" w:w="1512"/>
          </w:tcPr>
          <w:p>
            <w:r>
              <w:rPr>
                <w:rFonts w:ascii="Times New Roman" w:hAnsi="Times New Roman"/>
                <w:sz w:val="20"/>
              </w:rPr>
              <w:t>Holzbauer GmbH &amp; Co. KG</w:t>
            </w:r>
          </w:p>
        </w:tc>
        <w:tc>
          <w:tcPr>
            <w:tcW w:type="dxa" w:w="1512"/>
          </w:tcPr>
          <w:p>
            <w:r>
              <w:rPr>
                <w:rFonts w:ascii="Times New Roman" w:hAnsi="Times New Roman"/>
                <w:sz w:val="20"/>
              </w:rPr>
              <w:t>28.100</w:t>
            </w:r>
          </w:p>
        </w:tc>
        <w:tc>
          <w:tcPr>
            <w:tcW w:type="dxa" w:w="1512"/>
          </w:tcPr>
          <w:p>
            <w:r>
              <w:rPr>
                <w:rFonts w:ascii="Times New Roman" w:hAnsi="Times New Roman"/>
                <w:sz w:val="20"/>
              </w:rPr>
              <w:t>28.100</w:t>
            </w:r>
          </w:p>
        </w:tc>
        <w:tc>
          <w:tcPr>
            <w:tcW w:type="dxa" w:w="1512"/>
          </w:tcPr>
          <w:p>
            <w:r>
              <w:rPr>
                <w:rFonts w:ascii="Times New Roman" w:hAnsi="Times New Roman"/>
                <w:sz w:val="20"/>
              </w:rPr>
              <w:t>18,4</w:t>
            </w:r>
          </w:p>
        </w:tc>
        <w:tc>
          <w:tcPr>
            <w:tcW w:type="dxa" w:w="1512"/>
          </w:tcPr>
          <w:p>
            <w:r>
              <w:rPr>
                <w:rFonts w:ascii="Times New Roman" w:hAnsi="Times New Roman"/>
                <w:sz w:val="20"/>
              </w:rPr>
              <w:t>5.170,40</w:t>
            </w:r>
          </w:p>
        </w:tc>
      </w:tr>
      <w:tr>
        <w:tc>
          <w:tcPr>
            <w:tcW w:type="dxa" w:w="1512"/>
          </w:tcPr>
          <w:p>
            <w:r>
              <w:rPr>
                <w:rFonts w:ascii="Times New Roman" w:hAnsi="Times New Roman"/>
                <w:sz w:val="20"/>
              </w:rPr>
              <w:t>8</w:t>
            </w:r>
          </w:p>
        </w:tc>
        <w:tc>
          <w:tcPr>
            <w:tcW w:type="dxa" w:w="1512"/>
          </w:tcPr>
          <w:p>
            <w:r>
              <w:rPr>
                <w:rFonts w:ascii="Times New Roman" w:hAnsi="Times New Roman"/>
                <w:sz w:val="20"/>
              </w:rPr>
              <w:t>Beschlagwerk Elbe AG</w:t>
            </w:r>
          </w:p>
        </w:tc>
        <w:tc>
          <w:tcPr>
            <w:tcW w:type="dxa" w:w="1512"/>
          </w:tcPr>
          <w:p>
            <w:r>
              <w:rPr>
                <w:rFonts w:ascii="Times New Roman" w:hAnsi="Times New Roman"/>
                <w:sz w:val="20"/>
              </w:rPr>
              <w:t>19.440</w:t>
            </w:r>
          </w:p>
        </w:tc>
        <w:tc>
          <w:tcPr>
            <w:tcW w:type="dxa" w:w="1512"/>
          </w:tcPr>
          <w:p>
            <w:r>
              <w:rPr>
                <w:rFonts w:ascii="Times New Roman" w:hAnsi="Times New Roman"/>
                <w:sz w:val="20"/>
              </w:rPr>
              <w:t>19.440</w:t>
            </w:r>
          </w:p>
        </w:tc>
        <w:tc>
          <w:tcPr>
            <w:tcW w:type="dxa" w:w="1512"/>
          </w:tcPr>
          <w:p>
            <w:r>
              <w:rPr>
                <w:rFonts w:ascii="Times New Roman" w:hAnsi="Times New Roman"/>
                <w:sz w:val="20"/>
              </w:rPr>
              <w:t>18,4</w:t>
            </w:r>
          </w:p>
        </w:tc>
        <w:tc>
          <w:tcPr>
            <w:tcW w:type="dxa" w:w="1512"/>
          </w:tcPr>
          <w:p>
            <w:r>
              <w:rPr>
                <w:rFonts w:ascii="Times New Roman" w:hAnsi="Times New Roman"/>
                <w:sz w:val="20"/>
              </w:rPr>
              <w:t>3.576,96</w:t>
            </w:r>
          </w:p>
        </w:tc>
      </w:tr>
      <w:tr>
        <w:tc>
          <w:tcPr>
            <w:tcW w:type="dxa" w:w="1512"/>
          </w:tcPr>
          <w:p>
            <w:r>
              <w:rPr>
                <w:rFonts w:ascii="Times New Roman" w:hAnsi="Times New Roman"/>
                <w:sz w:val="20"/>
              </w:rPr>
              <w:t>9</w:t>
            </w:r>
          </w:p>
        </w:tc>
        <w:tc>
          <w:tcPr>
            <w:tcW w:type="dxa" w:w="1512"/>
          </w:tcPr>
          <w:p>
            <w:r>
              <w:rPr>
                <w:rFonts w:ascii="Times New Roman" w:hAnsi="Times New Roman"/>
                <w:sz w:val="20"/>
              </w:rPr>
              <w:t>Havelstrom GbR</w:t>
            </w:r>
          </w:p>
        </w:tc>
        <w:tc>
          <w:tcPr>
            <w:tcW w:type="dxa" w:w="1512"/>
          </w:tcPr>
          <w:p>
            <w:r>
              <w:rPr>
                <w:rFonts w:ascii="Times New Roman" w:hAnsi="Times New Roman"/>
                <w:sz w:val="20"/>
              </w:rPr>
              <w:t>48.000</w:t>
            </w:r>
          </w:p>
        </w:tc>
        <w:tc>
          <w:tcPr>
            <w:tcW w:type="dxa" w:w="1512"/>
          </w:tcPr>
          <w:p>
            <w:r>
              <w:rPr>
                <w:rFonts w:ascii="Times New Roman" w:hAnsi="Times New Roman"/>
                <w:sz w:val="20"/>
              </w:rPr>
              <w:t>48.000</w:t>
            </w:r>
          </w:p>
        </w:tc>
        <w:tc>
          <w:tcPr>
            <w:tcW w:type="dxa" w:w="1512"/>
          </w:tcPr>
          <w:p>
            <w:r>
              <w:rPr>
                <w:rFonts w:ascii="Times New Roman" w:hAnsi="Times New Roman"/>
                <w:sz w:val="20"/>
              </w:rPr>
              <w:t>18,4</w:t>
            </w:r>
          </w:p>
        </w:tc>
        <w:tc>
          <w:tcPr>
            <w:tcW w:type="dxa" w:w="1512"/>
          </w:tcPr>
          <w:p>
            <w:r>
              <w:rPr>
                <w:rFonts w:ascii="Times New Roman" w:hAnsi="Times New Roman"/>
                <w:sz w:val="20"/>
              </w:rPr>
              <w:t>8.832,00</w:t>
            </w:r>
          </w:p>
        </w:tc>
      </w:tr>
      <w:tr>
        <w:tc>
          <w:tcPr>
            <w:tcW w:type="dxa" w:w="1512"/>
          </w:tcPr>
          <w:p>
            <w:r>
              <w:rPr>
                <w:rFonts w:ascii="Times New Roman" w:hAnsi="Times New Roman"/>
                <w:sz w:val="20"/>
              </w:rPr>
              <w:t>10</w:t>
            </w:r>
          </w:p>
        </w:tc>
        <w:tc>
          <w:tcPr>
            <w:tcW w:type="dxa" w:w="1512"/>
          </w:tcPr>
          <w:p>
            <w:r>
              <w:rPr>
                <w:rFonts w:ascii="Times New Roman" w:hAnsi="Times New Roman"/>
                <w:sz w:val="20"/>
              </w:rPr>
              <w:t>Arbeitnehmer (gesamt)</w:t>
            </w:r>
          </w:p>
        </w:tc>
        <w:tc>
          <w:tcPr>
            <w:tcW w:type="dxa" w:w="1512"/>
          </w:tcPr>
          <w:p>
            <w:r>
              <w:rPr>
                <w:rFonts w:ascii="Times New Roman" w:hAnsi="Times New Roman"/>
                <w:sz w:val="20"/>
              </w:rPr>
              <w:t>236.000</w:t>
            </w:r>
          </w:p>
        </w:tc>
        <w:tc>
          <w:tcPr>
            <w:tcW w:type="dxa" w:w="1512"/>
          </w:tcPr>
          <w:p>
            <w:r>
              <w:rPr>
                <w:rFonts w:ascii="Times New Roman" w:hAnsi="Times New Roman"/>
                <w:sz w:val="20"/>
              </w:rPr>
              <w:t>236.000</w:t>
            </w:r>
          </w:p>
        </w:tc>
        <w:tc>
          <w:tcPr>
            <w:tcW w:type="dxa" w:w="1512"/>
          </w:tcPr>
          <w:p>
            <w:r>
              <w:rPr>
                <w:rFonts w:ascii="Times New Roman" w:hAnsi="Times New Roman"/>
                <w:sz w:val="20"/>
              </w:rPr>
              <w:t>18,4</w:t>
            </w:r>
          </w:p>
        </w:tc>
        <w:tc>
          <w:tcPr>
            <w:tcW w:type="dxa" w:w="1512"/>
          </w:tcPr>
          <w:p>
            <w:r>
              <w:rPr>
                <w:rFonts w:ascii="Times New Roman" w:hAnsi="Times New Roman"/>
                <w:sz w:val="20"/>
              </w:rPr>
              <w:t>43.424,00</w:t>
            </w:r>
          </w:p>
        </w:tc>
      </w:tr>
      <w:tr>
        <w:tc>
          <w:tcPr>
            <w:tcW w:type="dxa" w:w="1512"/>
          </w:tcPr>
          <w:p>
            <w:r>
              <w:rPr>
                <w:rFonts w:ascii="Times New Roman" w:hAnsi="Times New Roman"/>
                <w:sz w:val="20"/>
              </w:rPr>
              <w:t>11</w:t>
            </w:r>
          </w:p>
        </w:tc>
        <w:tc>
          <w:tcPr>
            <w:tcW w:type="dxa" w:w="1512"/>
          </w:tcPr>
          <w:p>
            <w:r>
              <w:rPr>
                <w:rFonts w:ascii="Times New Roman" w:hAnsi="Times New Roman"/>
                <w:sz w:val="20"/>
              </w:rPr>
              <w:t>Würtl-Leasing GmbH</w:t>
            </w:r>
          </w:p>
        </w:tc>
        <w:tc>
          <w:tcPr>
            <w:tcW w:type="dxa" w:w="1512"/>
          </w:tcPr>
          <w:p>
            <w:r>
              <w:rPr>
                <w:rFonts w:ascii="Times New Roman" w:hAnsi="Times New Roman"/>
                <w:sz w:val="20"/>
              </w:rPr>
              <w:t>22.800</w:t>
            </w:r>
          </w:p>
        </w:tc>
        <w:tc>
          <w:tcPr>
            <w:tcW w:type="dxa" w:w="1512"/>
          </w:tcPr>
          <w:p>
            <w:r>
              <w:rPr>
                <w:rFonts w:ascii="Times New Roman" w:hAnsi="Times New Roman"/>
                <w:sz w:val="20"/>
              </w:rPr>
              <w:t>11.200</w:t>
            </w:r>
          </w:p>
        </w:tc>
        <w:tc>
          <w:tcPr>
            <w:tcW w:type="dxa" w:w="1512"/>
          </w:tcPr>
          <w:p>
            <w:r>
              <w:rPr>
                <w:rFonts w:ascii="Times New Roman" w:hAnsi="Times New Roman"/>
                <w:sz w:val="20"/>
              </w:rPr>
              <w:t>18,4</w:t>
            </w:r>
          </w:p>
        </w:tc>
        <w:tc>
          <w:tcPr>
            <w:tcW w:type="dxa" w:w="1512"/>
          </w:tcPr>
          <w:p>
            <w:r>
              <w:rPr>
                <w:rFonts w:ascii="Times New Roman" w:hAnsi="Times New Roman"/>
                <w:sz w:val="20"/>
              </w:rPr>
              <w:t>2.060,80</w:t>
            </w:r>
          </w:p>
        </w:tc>
      </w:tr>
      <w:tr>
        <w:tc>
          <w:tcPr>
            <w:tcW w:type="dxa" w:w="1512"/>
          </w:tcPr>
          <w:p>
            <w:r>
              <w:rPr>
                <w:rFonts w:ascii="Times New Roman" w:hAnsi="Times New Roman"/>
                <w:sz w:val="20"/>
              </w:rPr>
              <w:t>12</w:t>
            </w:r>
          </w:p>
        </w:tc>
        <w:tc>
          <w:tcPr>
            <w:tcW w:type="dxa" w:w="1512"/>
          </w:tcPr>
          <w:p>
            <w:r>
              <w:rPr>
                <w:rFonts w:ascii="Times New Roman" w:hAnsi="Times New Roman"/>
                <w:sz w:val="20"/>
              </w:rPr>
              <w:t>Tim Brauer (nachrangig)</w:t>
            </w:r>
          </w:p>
        </w:tc>
        <w:tc>
          <w:tcPr>
            <w:tcW w:type="dxa" w:w="1512"/>
          </w:tcPr>
          <w:p>
            <w:r>
              <w:rPr>
                <w:rFonts w:ascii="Times New Roman" w:hAnsi="Times New Roman"/>
                <w:sz w:val="20"/>
              </w:rPr>
              <w:t>120.000</w:t>
            </w:r>
          </w:p>
        </w:tc>
        <w:tc>
          <w:tcPr>
            <w:tcW w:type="dxa" w:w="1512"/>
          </w:tcPr>
          <w:p>
            <w:r>
              <w:rPr>
                <w:rFonts w:ascii="Times New Roman" w:hAnsi="Times New Roman"/>
                <w:sz w:val="20"/>
              </w:rPr>
              <w:t>120.000</w:t>
            </w:r>
          </w:p>
        </w:tc>
        <w:tc>
          <w:tcPr>
            <w:tcW w:type="dxa" w:w="1512"/>
          </w:tcPr>
          <w:p>
            <w:r>
              <w:rPr>
                <w:rFonts w:ascii="Times New Roman" w:hAnsi="Times New Roman"/>
                <w:sz w:val="20"/>
              </w:rPr>
              <w:t>0</w:t>
            </w:r>
          </w:p>
        </w:tc>
        <w:tc>
          <w:tcPr>
            <w:tcW w:type="dxa" w:w="1512"/>
          </w:tcPr>
          <w:p>
            <w:r>
              <w:rPr>
                <w:rFonts w:ascii="Times New Roman" w:hAnsi="Times New Roman"/>
                <w:sz w:val="20"/>
              </w:rPr>
              <w:t>0</w:t>
            </w:r>
          </w:p>
        </w:tc>
      </w:tr>
      <w:tr>
        <w:tc>
          <w:tcPr>
            <w:tcW w:type="dxa" w:w="1512"/>
          </w:tcPr>
          <w:p>
            <w:r>
              <w:rPr>
                <w:rFonts w:ascii="Times New Roman" w:hAnsi="Times New Roman"/>
                <w:b/>
                <w:sz w:val="20"/>
              </w:rPr>
              <w:t>Gesamt § 38</w:t>
            </w:r>
          </w:p>
        </w:tc>
        <w:tc>
          <w:tcPr>
            <w:tcW w:type="dxa" w:w="1512"/>
          </w:tcPr>
          <w:p/>
        </w:tc>
        <w:tc>
          <w:tcPr>
            <w:tcW w:type="dxa" w:w="1512"/>
          </w:tcPr>
          <w:p>
            <w:r>
              <w:rPr>
                <w:rFonts w:ascii="Times New Roman" w:hAnsi="Times New Roman"/>
                <w:b/>
                <w:sz w:val="20"/>
              </w:rPr>
              <w:t>870.460</w:t>
            </w:r>
          </w:p>
        </w:tc>
        <w:tc>
          <w:tcPr>
            <w:tcW w:type="dxa" w:w="1512"/>
          </w:tcPr>
          <w:p>
            <w:r>
              <w:rPr>
                <w:rFonts w:ascii="Times New Roman" w:hAnsi="Times New Roman"/>
                <w:b/>
                <w:sz w:val="20"/>
              </w:rPr>
              <w:t>862.900</w:t>
            </w:r>
          </w:p>
        </w:tc>
        <w:tc>
          <w:tcPr>
            <w:tcW w:type="dxa" w:w="1512"/>
          </w:tcPr>
          <w:p/>
        </w:tc>
        <w:tc>
          <w:tcPr>
            <w:tcW w:type="dxa" w:w="1512"/>
          </w:tcPr>
          <w:p>
            <w:r>
              <w:rPr>
                <w:rFonts w:ascii="Times New Roman" w:hAnsi="Times New Roman"/>
                <w:b/>
                <w:sz w:val="20"/>
              </w:rPr>
              <w:t>158.777,32</w:t>
            </w:r>
          </w:p>
        </w:tc>
      </w:tr>
    </w:tbl>
    <w:p>
      <w:pPr>
        <w:jc w:val="left"/>
      </w:pPr>
      <w:r>
        <w:rPr>
          <w:b/>
        </w:rPr>
        <w:t>Restbetrag nach erster Verteilung: 130.012,68 EUR</w:t>
      </w:r>
      <w:r>
        <w:t xml:space="preserve"> → wird für Nachtragsverteilung zurückgestellt (Steuererstattung 2027 möglich; etwaige Nachtragsklärungen aus Anfechtungsverfahren Tim Brauer).</w:t>
      </w:r>
    </w:p>
    <w:p/>
    <w:p>
      <w:pPr>
        <w:pStyle w:val="Heading2"/>
      </w:pPr>
      <w:r>
        <w:rPr>
          <w:rFonts w:ascii="Times New Roman" w:hAnsi="Times New Roman"/>
        </w:rPr>
        <w:t>IV. Abschlussbemerkungen</w:t>
      </w:r>
    </w:p>
    <w:p>
      <w:pPr>
        <w:pStyle w:val="Heading3"/>
      </w:pPr>
      <w:r>
        <w:rPr>
          <w:rFonts w:ascii="Times New Roman" w:hAnsi="Times New Roman"/>
        </w:rPr>
        <w:t>Nachtragsverteilung</w:t>
      </w:r>
    </w:p>
    <w:p>
      <w:pPr>
        <w:jc w:val="left"/>
      </w:pPr>
      <w:r>
        <w:t>Die endgültige Körperschaftsteuerveranlagung 2026/2027 steht noch aus. Es sind Erstattungen in Höhe von bis zu ca. 14.200 EUR möglich (bereits als Einnahme verbucht). Sobald die Veranlagungen rechtskräftig sind, erfolgt die Nachtragsverteilung durch Beschluss des Amtsgerichts.</w:t>
      </w:r>
    </w:p>
    <w:p>
      <w:pPr>
        <w:pStyle w:val="Heading3"/>
      </w:pPr>
      <w:r>
        <w:rPr>
          <w:rFonts w:ascii="Times New Roman" w:hAnsi="Times New Roman"/>
        </w:rPr>
        <w:t>Auflösung der Gesellschaft</w:t>
      </w:r>
    </w:p>
    <w:p>
      <w:pPr>
        <w:jc w:val="left"/>
      </w:pPr>
      <w:r>
        <w:t>Die Möbelwerk Havelberg GmbH ist nach Aufhebung des Insolvenzverfahrens von Amts wegen aufgelöst (§ 141a FGG analog). Die Insolvenzverwalterin hat beim Handelsregister die Löschung beantragt.</w:t>
      </w:r>
    </w:p>
    <w:p>
      <w:pPr>
        <w:pStyle w:val="Heading3"/>
      </w:pPr>
      <w:r>
        <w:rPr>
          <w:rFonts w:ascii="Times New Roman" w:hAnsi="Times New Roman"/>
        </w:rPr>
        <w:t>Geschäftsführerhaftung</w:t>
      </w:r>
    </w:p>
    <w:p>
      <w:pPr>
        <w:jc w:val="left"/>
      </w:pPr>
      <w:r>
        <w:t>Der Vergleich mit der D&amp;O-Versicherung schließt auch persönliche Haftungsansprüche gegen Tim Brauer ab. Weitergehende direkte Ansprüche gegen den Geschäftsführer bestehen nicht mehr.</w:t>
      </w:r>
    </w:p>
    <w:p/>
    <w:p>
      <w:pPr>
        <w:pStyle w:val="Heading2"/>
      </w:pPr>
      <w:r>
        <w:rPr>
          <w:rFonts w:ascii="Times New Roman" w:hAnsi="Times New Roman"/>
        </w:rPr>
        <w:t>V. Erklärung der Insolvenzverwalterin</w:t>
      </w:r>
    </w:p>
    <w:p>
      <w:pPr>
        <w:jc w:val="left"/>
      </w:pPr>
      <w:r>
        <w:t>Die Insolvenzverwalterin erklärt, dass die Schlussrechnung vollständig und nach bestem Wissen erstellt ist. Sämtliche Einnahmen und Ausgaben sind durch Belege dokumentiert, die dem Gericht auf Anforderung vorgelegt werden.</w:t>
      </w:r>
    </w:p>
    <w:p>
      <w:pPr>
        <w:jc w:val="left"/>
      </w:pPr>
      <w:r>
        <w:t>```</w:t>
      </w:r>
    </w:p>
    <w:p>
      <w:pPr>
        <w:jc w:val="left"/>
      </w:pPr>
      <w:r>
        <w:t>Magdeburg, 20.01.2027</w:t>
      </w:r>
    </w:p>
    <w:p>
      <w:pPr>
        <w:jc w:val="left"/>
      </w:pPr>
      <w:r>
        <w:t>Dr. Nora Westphal</w:t>
      </w:r>
    </w:p>
    <w:p>
      <w:pPr>
        <w:jc w:val="left"/>
      </w:pPr>
      <w:r>
        <w:t>Insolvenzverwalterin</w:t>
      </w:r>
    </w:p>
    <w:p>
      <w:pPr>
        <w:jc w:val="left"/>
      </w:pPr>
      <w:r>
        <w:t>```</w:t>
      </w:r>
    </w:p>
    <w:p/>
    <w:p>
      <w:pPr>
        <w:jc w:val="left"/>
      </w:pPr>
      <w:r>
        <w:rPr>
          <w:i/>
        </w:rPr>
        <w:t>Anlagen:</w:t>
      </w:r>
    </w:p>
    <w:p>
      <w:pPr>
        <w:pStyle w:val="ListBullet"/>
      </w:pPr>
      <w:r>
        <w:rPr>
          <w:i/>
        </w:rPr>
        <w:t>Anlage A: Kontoauszüge Anderkonto (vollständig)</w:t>
      </w:r>
    </w:p>
    <w:p>
      <w:pPr>
        <w:pStyle w:val="ListBullet"/>
      </w:pPr>
      <w:r>
        <w:rPr>
          <w:i/>
        </w:rPr>
        <w:t>Anlage B: Verwertungsbelege (Kaufverträge, Auktionsprotokolle)</w:t>
      </w:r>
    </w:p>
    <w:p>
      <w:pPr>
        <w:pStyle w:val="ListBullet"/>
      </w:pPr>
      <w:r>
        <w:rPr>
          <w:i/>
        </w:rPr>
        <w:t>Anlage C: D&amp;O-Vergleichsvertrag</w:t>
      </w:r>
    </w:p>
    <w:p>
      <w:pPr>
        <w:pStyle w:val="ListBullet"/>
      </w:pPr>
      <w:r>
        <w:rPr>
          <w:i/>
        </w:rPr>
        <w:t>Anlage D: Anfechtungsvergleiche (4 Stück)</w:t>
      </w:r>
    </w:p>
    <w:p>
      <w:pPr>
        <w:pStyle w:val="ListBullet"/>
      </w:pPr>
      <w:r>
        <w:rPr>
          <w:i/>
        </w:rPr>
        <w:t>Anlage E: Tabellenausdruck festgestellte Forderungen</w:t>
      </w:r>
    </w:p>
    <w:p>
      <w:pPr>
        <w:pStyle w:val="ListBullet"/>
      </w:pPr>
      <w:r>
        <w:rPr>
          <w:i/>
        </w:rPr>
        <w:t>Anlage F: Vergütungsfestsetzungsbeschluss (liegt vor)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