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Planoption – Insolvenzplan und StaRUG</w:t>
      </w:r>
    </w:p>
    <w:p>
      <w:pPr>
        <w:ind w:left="567"/>
      </w:pPr>
      <w:r>
        <w:rPr>
          <w:i/>
        </w:rPr>
        <w:t>Az.: 7 IN 41/26 – Möbelwerk Havelberg GmbH</w:t>
      </w:r>
    </w:p>
    <w:p>
      <w:pPr>
        <w:ind w:left="567"/>
      </w:pPr>
      <w:r>
        <w:rPr>
          <w:i/>
        </w:rPr>
        <w:t>Verfasserin: Dr. Nora Westphal, Insolvenzverwalterin</w:t>
      </w:r>
    </w:p>
    <w:p>
      <w:pPr>
        <w:ind w:left="567"/>
      </w:pPr>
      <w:r>
        <w:rPr>
          <w:i/>
        </w:rPr>
        <w:t>Stand: 15.06.2026 (nach Verfahrenseröffnung und Berichtsvorbereitungen)</w:t>
      </w:r>
    </w:p>
    <w:p/>
    <w:p>
      <w:pPr>
        <w:pStyle w:val="Heading2"/>
      </w:pPr>
      <w:r>
        <w:rPr>
          <w:rFonts w:ascii="Times New Roman" w:hAnsi="Times New Roman"/>
        </w:rPr>
        <w:t>1. Ausgangssituation und Fragestellung</w:t>
      </w:r>
    </w:p>
    <w:p>
      <w:pPr>
        <w:jc w:val="left"/>
      </w:pPr>
      <w:r>
        <w:t>Die vorläufige Insolvenzverwalterin hat bereits im Sicherungsverfahren festgestellt, dass die Betriebsfortführung stabiler verlief als anfänglich erwartet. Drei Hauptkunden (Pflegeheim Elbaue, Hotel Speicherstadt, Klinikverbund Prignitz) haben in Gesprächen signalisiert, dass sie grundsätzlich an einer Weiterlieferung interessiert sind, sofern die Möbelwerk Havelberg GmbH oder ein Rechtsnachfolger die Aufträge zuverlässig erfüllen kann.</w:t>
      </w:r>
    </w:p>
    <w:p>
      <w:pPr>
        <w:jc w:val="left"/>
      </w:pPr>
      <w:r>
        <w:t xml:space="preserve">Dies eröffnet die Frage, ob neben der Regelabwicklung (Zerschlagung und Einzelverwertung) auch ein </w:t>
      </w:r>
      <w:r>
        <w:rPr>
          <w:b/>
        </w:rPr>
        <w:t>Insolvenzplan</w:t>
      </w:r>
      <w:r>
        <w:t xml:space="preserve"> nach §§ 217 ff. InsO oder – als Vergleichsoption – das </w:t>
      </w:r>
      <w:r>
        <w:rPr>
          <w:b/>
        </w:rPr>
        <w:t>Unternehmensstabilisierungs- und Restrukturierungsgesetz (StaRUG)</w:t>
      </w:r>
      <w:r>
        <w:t xml:space="preserve"> in Betracht kommt.</w:t>
      </w:r>
    </w:p>
    <w:p/>
    <w:p>
      <w:pPr>
        <w:pStyle w:val="Heading2"/>
      </w:pPr>
      <w:r>
        <w:rPr>
          <w:rFonts w:ascii="Times New Roman" w:hAnsi="Times New Roman"/>
        </w:rPr>
        <w:t>2. Arbeitshypothesen</w:t>
      </w:r>
    </w:p>
    <w:p>
      <w:pPr>
        <w:pStyle w:val="Heading3"/>
      </w:pPr>
      <w:r>
        <w:rPr>
          <w:rFonts w:ascii="Times New Roman" w:hAnsi="Times New Roman"/>
        </w:rPr>
        <w:t>2.1 Insolvenzplan (§§ 217 ff. InsO)</w:t>
      </w:r>
    </w:p>
    <w:p>
      <w:pPr>
        <w:jc w:val="left"/>
      </w:pPr>
      <w:r>
        <w:rPr>
          <w:b/>
        </w:rPr>
        <w:t>Prämisse:</w:t>
      </w:r>
      <w:r>
        <w:t xml:space="preserve"> Ein Insolvenzplan könnte eine höhere Quote liefern als die bloße Zerschlagung, wenn folgende Bedingungen erfüllt sind:</w:t>
      </w:r>
    </w:p>
    <w:p>
      <w:pPr>
        <w:pStyle w:val="ListBullet"/>
      </w:pPr>
      <w:r>
        <w:t>Der operative Betrieb lässt sich auf einen Investor oder eine Auffanggesellschaft übertragen (übertragende Sanierung mit Planvehikel oder echte Sanierung des Unternehmensträgers).</w:t>
      </w:r>
    </w:p>
    <w:p>
      <w:pPr>
        <w:pStyle w:val="ListBullet"/>
      </w:pPr>
      <w:r>
        <w:t>Die Hauptgläubiger (Havelbank eG als wichtigste Absonderungsgläubigerin, Finanzamt, AOK) stimmen einer Quote zu, die über dem Zerschlagungswert liegt.</w:t>
      </w:r>
    </w:p>
    <w:p>
      <w:pPr>
        <w:pStyle w:val="ListBullet"/>
      </w:pPr>
      <w:r>
        <w:t>Ein Sanierungskonzept mit belastbarem Businessplan liegt vor.</w:t>
      </w:r>
    </w:p>
    <w:p>
      <w:pPr>
        <w:jc w:val="left"/>
      </w:pPr>
      <w:r>
        <w:rPr>
          <w:b/>
        </w:rPr>
        <w:t>Vergleichsrechnung (grob):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Variante</w:t>
            </w:r>
          </w:p>
        </w:tc>
        <w:tc>
          <w:tcPr>
            <w:tcW w:type="dxa" w:w="3024"/>
          </w:tcPr>
          <w:p>
            <w:r>
              <w:rPr>
                <w:rFonts w:ascii="Times New Roman" w:hAnsi="Times New Roman"/>
                <w:b/>
                <w:sz w:val="20"/>
              </w:rPr>
              <w:t>Erlöse/Quotenbasis (EUR)</w:t>
            </w:r>
          </w:p>
        </w:tc>
        <w:tc>
          <w:tcPr>
            <w:tcW w:type="dxa" w:w="3024"/>
          </w:tcPr>
          <w:p>
            <w:r>
              <w:rPr>
                <w:rFonts w:ascii="Times New Roman" w:hAnsi="Times New Roman"/>
                <w:b/>
                <w:sz w:val="20"/>
              </w:rPr>
              <w:t>Gläubigerquote (ca.)</w:t>
            </w:r>
          </w:p>
        </w:tc>
      </w:tr>
      <w:tr>
        <w:tc>
          <w:tcPr>
            <w:tcW w:type="dxa" w:w="3024"/>
          </w:tcPr>
          <w:p>
            <w:r>
              <w:rPr>
                <w:rFonts w:ascii="Times New Roman" w:hAnsi="Times New Roman"/>
                <w:sz w:val="20"/>
              </w:rPr>
              <w:t>Zerschlagung / Regelabwicklung</w:t>
            </w:r>
          </w:p>
        </w:tc>
        <w:tc>
          <w:tcPr>
            <w:tcW w:type="dxa" w:w="3024"/>
          </w:tcPr>
          <w:p>
            <w:r>
              <w:rPr>
                <w:rFonts w:ascii="Times New Roman" w:hAnsi="Times New Roman"/>
                <w:sz w:val="20"/>
              </w:rPr>
              <w:t>289.790</w:t>
            </w:r>
          </w:p>
        </w:tc>
        <w:tc>
          <w:tcPr>
            <w:tcW w:type="dxa" w:w="3024"/>
          </w:tcPr>
          <w:p>
            <w:r>
              <w:rPr>
                <w:rFonts w:ascii="Times New Roman" w:hAnsi="Times New Roman"/>
                <w:sz w:val="20"/>
              </w:rPr>
              <w:t>~18 %</w:t>
            </w:r>
          </w:p>
        </w:tc>
      </w:tr>
      <w:tr>
        <w:tc>
          <w:tcPr>
            <w:tcW w:type="dxa" w:w="3024"/>
          </w:tcPr>
          <w:p>
            <w:r>
              <w:rPr>
                <w:rFonts w:ascii="Times New Roman" w:hAnsi="Times New Roman"/>
                <w:sz w:val="20"/>
              </w:rPr>
              <w:t>Übertragende Sanierung (Asset Deal)</w:t>
            </w:r>
          </w:p>
        </w:tc>
        <w:tc>
          <w:tcPr>
            <w:tcW w:type="dxa" w:w="3024"/>
          </w:tcPr>
          <w:p>
            <w:r>
              <w:rPr>
                <w:rFonts w:ascii="Times New Roman" w:hAnsi="Times New Roman"/>
                <w:sz w:val="20"/>
              </w:rPr>
              <w:t>340.000–380.000</w:t>
            </w:r>
          </w:p>
        </w:tc>
        <w:tc>
          <w:tcPr>
            <w:tcW w:type="dxa" w:w="3024"/>
          </w:tcPr>
          <w:p>
            <w:r>
              <w:rPr>
                <w:rFonts w:ascii="Times New Roman" w:hAnsi="Times New Roman"/>
                <w:sz w:val="20"/>
              </w:rPr>
              <w:t>~22–24 %</w:t>
            </w:r>
          </w:p>
        </w:tc>
      </w:tr>
      <w:tr>
        <w:tc>
          <w:tcPr>
            <w:tcW w:type="dxa" w:w="3024"/>
          </w:tcPr>
          <w:p>
            <w:r>
              <w:rPr>
                <w:rFonts w:ascii="Times New Roman" w:hAnsi="Times New Roman"/>
                <w:sz w:val="20"/>
              </w:rPr>
              <w:t>Sanierungsinsolvenzplan (Going Concern)</w:t>
            </w:r>
          </w:p>
        </w:tc>
        <w:tc>
          <w:tcPr>
            <w:tcW w:type="dxa" w:w="3024"/>
          </w:tcPr>
          <w:p>
            <w:r>
              <w:rPr>
                <w:rFonts w:ascii="Times New Roman" w:hAnsi="Times New Roman"/>
                <w:sz w:val="20"/>
              </w:rPr>
              <w:t>390.000–440.000</w:t>
            </w:r>
          </w:p>
        </w:tc>
        <w:tc>
          <w:tcPr>
            <w:tcW w:type="dxa" w:w="3024"/>
          </w:tcPr>
          <w:p>
            <w:r>
              <w:rPr>
                <w:rFonts w:ascii="Times New Roman" w:hAnsi="Times New Roman"/>
                <w:sz w:val="20"/>
              </w:rPr>
              <w:t>~25–28 %</w:t>
            </w:r>
          </w:p>
        </w:tc>
      </w:tr>
    </w:tbl>
    <w:p>
      <w:pPr>
        <w:jc w:val="left"/>
      </w:pPr>
      <w:r>
        <w:t>Die höhere Quote im Planverfahren setzt voraus, dass die Kundenbindung erhalten bleibt und keine Schlüsselmitarbeiter abwandern.</w:t>
      </w:r>
    </w:p>
    <w:p>
      <w:pPr>
        <w:jc w:val="left"/>
      </w:pPr>
      <w:r>
        <w:rPr>
          <w:b/>
        </w:rPr>
        <w:t>Kritische Einflussfaktoren:</w:t>
      </w:r>
    </w:p>
    <w:p>
      <w:pPr>
        <w:pStyle w:val="ListBullet"/>
      </w:pPr>
      <w:r>
        <w:t>Havelbank eG verlangt eine belastbare Sicherheitenbewertung (Gutachten noch nicht final).</w:t>
      </w:r>
    </w:p>
    <w:p>
      <w:pPr>
        <w:pStyle w:val="ListBullet"/>
      </w:pPr>
      <w:r>
        <w:t>Tim Brauer scheidet als Geschäftsführer aus (Haftungsansprüche); neues Management muss gefunden werden.</w:t>
      </w:r>
    </w:p>
    <w:p>
      <w:pPr>
        <w:pStyle w:val="ListBullet"/>
      </w:pPr>
      <w:r>
        <w:t>Kein Investor hat bisher konkretes Kaufinteresse signalisiert.</w:t>
      </w:r>
    </w:p>
    <w:p>
      <w:pPr>
        <w:jc w:val="left"/>
      </w:pPr>
      <w:r>
        <w:rPr>
          <w:b/>
        </w:rPr>
        <w:t>Status:</w:t>
      </w:r>
      <w:r>
        <w:t xml:space="preserve"> Planoption bleibt als Paralleloption offengehalten bis Abschluss des Berichtstermins (14.09.2026). Wenn kein belastbarer Planvorschlag bis 01.08.2026 vorliegt, wird Regelabwicklung bevorzugt.</w:t>
      </w:r>
    </w:p>
    <w:p/>
    <w:p>
      <w:pPr>
        <w:pStyle w:val="Heading3"/>
      </w:pPr>
      <w:r>
        <w:rPr>
          <w:rFonts w:ascii="Times New Roman" w:hAnsi="Times New Roman"/>
        </w:rPr>
        <w:t>2.2 StaRUG als Alternativroute</w:t>
      </w:r>
    </w:p>
    <w:p>
      <w:pPr>
        <w:jc w:val="left"/>
      </w:pPr>
      <w:r>
        <w:t xml:space="preserve">Das Unternehmensstabilisierungs- und Restrukturierungsgesetz (StaRUG) ermöglicht eine Restrukturierung außerhalb des Insolvenzverfahrens durch einen </w:t>
      </w:r>
      <w:r>
        <w:rPr>
          <w:b/>
        </w:rPr>
        <w:t>Restrukturierungsplan</w:t>
      </w:r>
      <w:r>
        <w:t xml:space="preserve"> (§§ 2 ff. StaRUG). Voraussetzung ist, dass das Unternehmen noch nicht zahlungsunfähig ist, sondern erst </w:t>
      </w:r>
      <w:r>
        <w:rPr>
          <w:b/>
        </w:rPr>
        <w:t>drohende Zahlungsunfähigkeit</w:t>
      </w:r>
      <w:r>
        <w:t xml:space="preserve"> (§ 18 InsO) vorliegt.</w:t>
      </w:r>
    </w:p>
    <w:p>
      <w:pPr>
        <w:jc w:val="left"/>
      </w:pPr>
      <w:r>
        <w:rPr>
          <w:b/>
        </w:rPr>
        <w:t>Prüfungsergebnis:</w:t>
      </w:r>
    </w:p>
    <w:p>
      <w:pPr>
        <w:jc w:val="left"/>
      </w:pPr>
      <w:r>
        <w:t xml:space="preserve">Da Zahlungsunfähigkeit bereits am 22.03.2026 (Rücklastschrift) eingetreten ist und das Insolvenzverfahren bereits eröffnet wurde, scheidet StaRUG als primärer Sanierungsweg </w:t>
      </w:r>
      <w:r>
        <w:rPr>
          <w:b/>
        </w:rPr>
        <w:t>aus</w:t>
      </w:r>
      <w:r>
        <w:t>. Das Verfahren dient hier nur als konzeptionelle Vergleichsfolie für spätere Lernzwecke.</w:t>
      </w:r>
    </w:p>
    <w:p>
      <w:pPr>
        <w:jc w:val="left"/>
      </w:pPr>
      <w:r>
        <w:rPr>
          <w:b/>
        </w:rPr>
        <w:t>Wenn StaRUG zu prüfen wäre: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Antwort (hypothetisch)</w:t>
            </w:r>
          </w:p>
        </w:tc>
      </w:tr>
      <w:tr>
        <w:tc>
          <w:tcPr>
            <w:tcW w:type="dxa" w:w="4536"/>
          </w:tcPr>
          <w:p>
            <w:r>
              <w:rPr>
                <w:rFonts w:ascii="Times New Roman" w:hAnsi="Times New Roman"/>
                <w:sz w:val="20"/>
              </w:rPr>
              <w:t>Liegt nur drohende ZU vor?</w:t>
            </w:r>
          </w:p>
        </w:tc>
        <w:tc>
          <w:tcPr>
            <w:tcW w:type="dxa" w:w="4536"/>
          </w:tcPr>
          <w:p>
            <w:r>
              <w:rPr>
                <w:rFonts w:ascii="Times New Roman" w:hAnsi="Times New Roman"/>
                <w:sz w:val="20"/>
              </w:rPr>
              <w:t>Nein – bereits ZU seit 22.03.2026</w:t>
            </w:r>
          </w:p>
        </w:tc>
      </w:tr>
      <w:tr>
        <w:tc>
          <w:tcPr>
            <w:tcW w:type="dxa" w:w="4536"/>
          </w:tcPr>
          <w:p>
            <w:r>
              <w:rPr>
                <w:rFonts w:ascii="Times New Roman" w:hAnsi="Times New Roman"/>
                <w:sz w:val="20"/>
              </w:rPr>
              <w:t>Nur Finanzgläubiger betroffen?</w:t>
            </w:r>
          </w:p>
        </w:tc>
        <w:tc>
          <w:tcPr>
            <w:tcW w:type="dxa" w:w="4536"/>
          </w:tcPr>
          <w:p>
            <w:r>
              <w:rPr>
                <w:rFonts w:ascii="Times New Roman" w:hAnsi="Times New Roman"/>
                <w:sz w:val="20"/>
              </w:rPr>
              <w:t>Nein – auch Lieferanten, FA, SVT</w:t>
            </w:r>
          </w:p>
        </w:tc>
      </w:tr>
      <w:tr>
        <w:tc>
          <w:tcPr>
            <w:tcW w:type="dxa" w:w="4536"/>
          </w:tcPr>
          <w:p>
            <w:r>
              <w:rPr>
                <w:rFonts w:ascii="Times New Roman" w:hAnsi="Times New Roman"/>
                <w:sz w:val="20"/>
              </w:rPr>
              <w:t>Bestandsfähigkeitserklärung vorhanden?</w:t>
            </w:r>
          </w:p>
        </w:tc>
        <w:tc>
          <w:tcPr>
            <w:tcW w:type="dxa" w:w="4536"/>
          </w:tcPr>
          <w:p>
            <w:r>
              <w:rPr>
                <w:rFonts w:ascii="Times New Roman" w:hAnsi="Times New Roman"/>
                <w:sz w:val="20"/>
              </w:rPr>
              <w:t>Nein</w:t>
            </w:r>
          </w:p>
        </w:tc>
      </w:tr>
      <w:tr>
        <w:tc>
          <w:tcPr>
            <w:tcW w:type="dxa" w:w="4536"/>
          </w:tcPr>
          <w:p>
            <w:r>
              <w:rPr>
                <w:rFonts w:ascii="Times New Roman" w:hAnsi="Times New Roman"/>
                <w:sz w:val="20"/>
              </w:rPr>
              <w:t>Planung über 24 Monate?</w:t>
            </w:r>
          </w:p>
        </w:tc>
        <w:tc>
          <w:tcPr>
            <w:tcW w:type="dxa" w:w="4536"/>
          </w:tcPr>
          <w:p>
            <w:r>
              <w:rPr>
                <w:rFonts w:ascii="Times New Roman" w:hAnsi="Times New Roman"/>
                <w:sz w:val="20"/>
              </w:rPr>
              <w:t>Nicht vorhanden</w:t>
            </w:r>
          </w:p>
        </w:tc>
      </w:tr>
      <w:tr>
        <w:tc>
          <w:tcPr>
            <w:tcW w:type="dxa" w:w="4536"/>
          </w:tcPr>
          <w:p>
            <w:r>
              <w:rPr>
                <w:rFonts w:ascii="Times New Roman" w:hAnsi="Times New Roman"/>
                <w:sz w:val="20"/>
              </w:rPr>
              <w:t>Braucht man Stabilisierungsanordnung?</w:t>
            </w:r>
          </w:p>
        </w:tc>
        <w:tc>
          <w:tcPr>
            <w:tcW w:type="dxa" w:w="4536"/>
          </w:tcPr>
          <w:p>
            <w:r>
              <w:rPr>
                <w:rFonts w:ascii="Times New Roman" w:hAnsi="Times New Roman"/>
                <w:sz w:val="20"/>
              </w:rPr>
              <w:t>Ja, aber nicht mehr möglich</w:t>
            </w:r>
          </w:p>
        </w:tc>
      </w:tr>
    </w:tbl>
    <w:p>
      <w:pPr>
        <w:jc w:val="left"/>
      </w:pPr>
      <w:r>
        <w:rPr>
          <w:b/>
        </w:rPr>
        <w:t>Ergebnis:</w:t>
      </w:r>
      <w:r>
        <w:t xml:space="preserve"> StaRUG wäre frühestens im September 2024 (bei erster erkennbarer drohender ZU) sinnvoll gewesen, erforderte aber Finanzgläubigeransatz. Im vorliegenden Fall sind Arbeitnehmer, Lieferanten und Fiskus zu stark betroffen – StaRUG hätte nur Finanzgläubiger gestaltet und wäre damit zu eng gewesen.</w:t>
      </w:r>
    </w:p>
    <w:p/>
    <w:p>
      <w:pPr>
        <w:pStyle w:val="Heading2"/>
      </w:pPr>
      <w:r>
        <w:rPr>
          <w:rFonts w:ascii="Times New Roman" w:hAnsi="Times New Roman"/>
        </w:rPr>
        <w:t>3. Planprüfung – Entscheidungsmatrix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Insolvenzplan</w:t>
            </w:r>
          </w:p>
        </w:tc>
        <w:tc>
          <w:tcPr>
            <w:tcW w:type="dxa" w:w="2268"/>
          </w:tcPr>
          <w:p>
            <w:r>
              <w:rPr>
                <w:rFonts w:ascii="Times New Roman" w:hAnsi="Times New Roman"/>
                <w:b/>
                <w:sz w:val="20"/>
              </w:rPr>
              <w:t>StaRUG</w:t>
            </w:r>
          </w:p>
        </w:tc>
        <w:tc>
          <w:tcPr>
            <w:tcW w:type="dxa" w:w="2268"/>
          </w:tcPr>
          <w:p>
            <w:r>
              <w:rPr>
                <w:rFonts w:ascii="Times New Roman" w:hAnsi="Times New Roman"/>
                <w:b/>
                <w:sz w:val="20"/>
              </w:rPr>
              <w:t>Regelabwicklung</w:t>
            </w:r>
          </w:p>
        </w:tc>
      </w:tr>
      <w:tr>
        <w:tc>
          <w:tcPr>
            <w:tcW w:type="dxa" w:w="2268"/>
          </w:tcPr>
          <w:p>
            <w:r>
              <w:rPr>
                <w:rFonts w:ascii="Times New Roman" w:hAnsi="Times New Roman"/>
                <w:sz w:val="20"/>
              </w:rPr>
              <w:t>Rechtliche Zulässigkeit</w:t>
            </w:r>
          </w:p>
        </w:tc>
        <w:tc>
          <w:tcPr>
            <w:tcW w:type="dxa" w:w="2268"/>
          </w:tcPr>
          <w:p>
            <w:r>
              <w:rPr>
                <w:rFonts w:ascii="Times New Roman" w:hAnsi="Times New Roman"/>
                <w:sz w:val="20"/>
              </w:rPr>
              <w:t>Ja</w:t>
            </w:r>
          </w:p>
        </w:tc>
        <w:tc>
          <w:tcPr>
            <w:tcW w:type="dxa" w:w="2268"/>
          </w:tcPr>
          <w:p>
            <w:r>
              <w:rPr>
                <w:rFonts w:ascii="Times New Roman" w:hAnsi="Times New Roman"/>
                <w:sz w:val="20"/>
              </w:rPr>
              <w:t>Nein (ZU bereits eingetreten)</w:t>
            </w:r>
          </w:p>
        </w:tc>
        <w:tc>
          <w:tcPr>
            <w:tcW w:type="dxa" w:w="2268"/>
          </w:tcPr>
          <w:p>
            <w:r>
              <w:rPr>
                <w:rFonts w:ascii="Times New Roman" w:hAnsi="Times New Roman"/>
                <w:sz w:val="20"/>
              </w:rPr>
              <w:t>Ja</w:t>
            </w:r>
          </w:p>
        </w:tc>
      </w:tr>
      <w:tr>
        <w:tc>
          <w:tcPr>
            <w:tcW w:type="dxa" w:w="2268"/>
          </w:tcPr>
          <w:p>
            <w:r>
              <w:rPr>
                <w:rFonts w:ascii="Times New Roman" w:hAnsi="Times New Roman"/>
                <w:sz w:val="20"/>
              </w:rPr>
              <w:t>Voraussichtliche Quote</w:t>
            </w:r>
          </w:p>
        </w:tc>
        <w:tc>
          <w:tcPr>
            <w:tcW w:type="dxa" w:w="2268"/>
          </w:tcPr>
          <w:p>
            <w:r>
              <w:rPr>
                <w:rFonts w:ascii="Times New Roman" w:hAnsi="Times New Roman"/>
                <w:sz w:val="20"/>
              </w:rPr>
              <w:t>25–28 %</w:t>
            </w:r>
          </w:p>
        </w:tc>
        <w:tc>
          <w:tcPr>
            <w:tcW w:type="dxa" w:w="2268"/>
          </w:tcPr>
          <w:p>
            <w:r>
              <w:rPr>
                <w:rFonts w:ascii="Times New Roman" w:hAnsi="Times New Roman"/>
                <w:sz w:val="20"/>
              </w:rPr>
              <w:t>n/a</w:t>
            </w:r>
          </w:p>
        </w:tc>
        <w:tc>
          <w:tcPr>
            <w:tcW w:type="dxa" w:w="2268"/>
          </w:tcPr>
          <w:p>
            <w:r>
              <w:rPr>
                <w:rFonts w:ascii="Times New Roman" w:hAnsi="Times New Roman"/>
                <w:sz w:val="20"/>
              </w:rPr>
              <w:t>18 %</w:t>
            </w:r>
          </w:p>
        </w:tc>
      </w:tr>
      <w:tr>
        <w:tc>
          <w:tcPr>
            <w:tcW w:type="dxa" w:w="2268"/>
          </w:tcPr>
          <w:p>
            <w:r>
              <w:rPr>
                <w:rFonts w:ascii="Times New Roman" w:hAnsi="Times New Roman"/>
                <w:sz w:val="20"/>
              </w:rPr>
              <w:t>Investor vorhanden?</w:t>
            </w:r>
          </w:p>
        </w:tc>
        <w:tc>
          <w:tcPr>
            <w:tcW w:type="dxa" w:w="2268"/>
          </w:tcPr>
          <w:p>
            <w:r>
              <w:rPr>
                <w:rFonts w:ascii="Times New Roman" w:hAnsi="Times New Roman"/>
                <w:sz w:val="20"/>
              </w:rPr>
              <w:t>Nein</w:t>
            </w:r>
          </w:p>
        </w:tc>
        <w:tc>
          <w:tcPr>
            <w:tcW w:type="dxa" w:w="2268"/>
          </w:tcPr>
          <w:p>
            <w:r>
              <w:rPr>
                <w:rFonts w:ascii="Times New Roman" w:hAnsi="Times New Roman"/>
                <w:sz w:val="20"/>
              </w:rPr>
              <w:t>n/a</w:t>
            </w:r>
          </w:p>
        </w:tc>
        <w:tc>
          <w:tcPr>
            <w:tcW w:type="dxa" w:w="2268"/>
          </w:tcPr>
          <w:p>
            <w:r>
              <w:rPr>
                <w:rFonts w:ascii="Times New Roman" w:hAnsi="Times New Roman"/>
                <w:sz w:val="20"/>
              </w:rPr>
              <w:t>irrelevant</w:t>
            </w:r>
          </w:p>
        </w:tc>
      </w:tr>
      <w:tr>
        <w:tc>
          <w:tcPr>
            <w:tcW w:type="dxa" w:w="2268"/>
          </w:tcPr>
          <w:p>
            <w:r>
              <w:rPr>
                <w:rFonts w:ascii="Times New Roman" w:hAnsi="Times New Roman"/>
                <w:sz w:val="20"/>
              </w:rPr>
              <w:t>Zeitaufwand</w:t>
            </w:r>
          </w:p>
        </w:tc>
        <w:tc>
          <w:tcPr>
            <w:tcW w:type="dxa" w:w="2268"/>
          </w:tcPr>
          <w:p>
            <w:r>
              <w:rPr>
                <w:rFonts w:ascii="Times New Roman" w:hAnsi="Times New Roman"/>
                <w:sz w:val="20"/>
              </w:rPr>
              <w:t>6–12 Monate zusätzlich</w:t>
            </w:r>
          </w:p>
        </w:tc>
        <w:tc>
          <w:tcPr>
            <w:tcW w:type="dxa" w:w="2268"/>
          </w:tcPr>
          <w:p>
            <w:r>
              <w:rPr>
                <w:rFonts w:ascii="Times New Roman" w:hAnsi="Times New Roman"/>
                <w:sz w:val="20"/>
              </w:rPr>
              <w:t>n/a</w:t>
            </w:r>
          </w:p>
        </w:tc>
        <w:tc>
          <w:tcPr>
            <w:tcW w:type="dxa" w:w="2268"/>
          </w:tcPr>
          <w:p>
            <w:r>
              <w:rPr>
                <w:rFonts w:ascii="Times New Roman" w:hAnsi="Times New Roman"/>
                <w:sz w:val="20"/>
              </w:rPr>
              <w:t>6–8 Monate</w:t>
            </w:r>
          </w:p>
        </w:tc>
      </w:tr>
      <w:tr>
        <w:tc>
          <w:tcPr>
            <w:tcW w:type="dxa" w:w="2268"/>
          </w:tcPr>
          <w:p>
            <w:r>
              <w:rPr>
                <w:rFonts w:ascii="Times New Roman" w:hAnsi="Times New Roman"/>
                <w:sz w:val="20"/>
              </w:rPr>
              <w:t>Risiko Scheitern</w:t>
            </w:r>
          </w:p>
        </w:tc>
        <w:tc>
          <w:tcPr>
            <w:tcW w:type="dxa" w:w="2268"/>
          </w:tcPr>
          <w:p>
            <w:r>
              <w:rPr>
                <w:rFonts w:ascii="Times New Roman" w:hAnsi="Times New Roman"/>
                <w:sz w:val="20"/>
              </w:rPr>
              <w:t>Hoch</w:t>
            </w:r>
          </w:p>
        </w:tc>
        <w:tc>
          <w:tcPr>
            <w:tcW w:type="dxa" w:w="2268"/>
          </w:tcPr>
          <w:p>
            <w:r>
              <w:rPr>
                <w:rFonts w:ascii="Times New Roman" w:hAnsi="Times New Roman"/>
                <w:sz w:val="20"/>
              </w:rPr>
              <w:t>n/a</w:t>
            </w:r>
          </w:p>
        </w:tc>
        <w:tc>
          <w:tcPr>
            <w:tcW w:type="dxa" w:w="2268"/>
          </w:tcPr>
          <w:p>
            <w:r>
              <w:rPr>
                <w:rFonts w:ascii="Times New Roman" w:hAnsi="Times New Roman"/>
                <w:sz w:val="20"/>
              </w:rPr>
              <w:t>Niedrig</w:t>
            </w:r>
          </w:p>
        </w:tc>
      </w:tr>
      <w:tr>
        <w:tc>
          <w:tcPr>
            <w:tcW w:type="dxa" w:w="2268"/>
          </w:tcPr>
          <w:p>
            <w:r>
              <w:rPr>
                <w:rFonts w:ascii="Times New Roman" w:hAnsi="Times New Roman"/>
                <w:sz w:val="20"/>
              </w:rPr>
              <w:t>Empfehlung</w:t>
            </w:r>
          </w:p>
        </w:tc>
        <w:tc>
          <w:tcPr>
            <w:tcW w:type="dxa" w:w="2268"/>
          </w:tcPr>
          <w:p>
            <w:r>
              <w:rPr>
                <w:rFonts w:ascii="Times New Roman" w:hAnsi="Times New Roman"/>
                <w:sz w:val="20"/>
              </w:rPr>
              <w:t>Offenhalten bis 01.08.2026</w:t>
            </w:r>
          </w:p>
        </w:tc>
        <w:tc>
          <w:tcPr>
            <w:tcW w:type="dxa" w:w="2268"/>
          </w:tcPr>
          <w:p>
            <w:r>
              <w:rPr>
                <w:rFonts w:ascii="Times New Roman" w:hAnsi="Times New Roman"/>
                <w:sz w:val="20"/>
              </w:rPr>
              <w:t>Nicht verfolgen</w:t>
            </w:r>
          </w:p>
        </w:tc>
        <w:tc>
          <w:tcPr>
            <w:tcW w:type="dxa" w:w="2268"/>
          </w:tcPr>
          <w:p>
            <w:r>
              <w:rPr>
                <w:rFonts w:ascii="Times New Roman" w:hAnsi="Times New Roman"/>
                <w:sz w:val="20"/>
              </w:rPr>
              <w:t>Bevorzugt</w:t>
            </w:r>
          </w:p>
        </w:tc>
      </w:tr>
    </w:tbl>
    <w:p/>
    <w:p>
      <w:pPr>
        <w:pStyle w:val="Heading2"/>
      </w:pPr>
      <w:r>
        <w:rPr>
          <w:rFonts w:ascii="Times New Roman" w:hAnsi="Times New Roman"/>
        </w:rPr>
        <w:t>4. Weiteres Vorgehen</w:t>
      </w:r>
    </w:p>
    <w:p>
      <w:pPr>
        <w:pStyle w:val="ListBullet"/>
      </w:pPr>
      <w:r>
        <w:rPr>
          <w:b/>
        </w:rPr>
        <w:t>Bis 01.08.2026:</w:t>
      </w:r>
      <w:r>
        <w:t xml:space="preserve"> Aktive Suche nach Investoren für übertragende Sanierung; Havelbank eG wird eingebunden.</w:t>
      </w:r>
    </w:p>
    <w:p>
      <w:pPr>
        <w:pStyle w:val="ListBullet"/>
      </w:pPr>
      <w:r>
        <w:rPr>
          <w:b/>
        </w:rPr>
        <w:t>Berichtstermin 14.09.2026:</w:t>
      </w:r>
      <w:r>
        <w:t xml:space="preserve"> Vorlage der Planoption an Gläubigerversammlung; Entscheidung über Insolvenzplan oder Regelabwicklung.</w:t>
      </w:r>
    </w:p>
    <w:p>
      <w:pPr>
        <w:pStyle w:val="ListBullet"/>
      </w:pPr>
      <w:r>
        <w:rPr>
          <w:b/>
        </w:rPr>
        <w:t>Wenn kein Investor bis 01.08.2026:</w:t>
      </w:r>
      <w:r>
        <w:t xml:space="preserve"> Regelabwicklung als einzig realistische Option; Maschinenverwertung und D&amp;O-Vergleich werden vollzogen.</w:t>
      </w:r>
    </w:p>
    <w:p/>
    <w:p>
      <w:pPr>
        <w:jc w:val="left"/>
      </w:pPr>
      <w:r>
        <w:rPr>
          <w:i/>
        </w:rPr>
        <w:t>Dr. Nora Westphal, Insolvenzverwalterin, Magdeburg, 15.06.2026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