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Gruppenbildung – Insolvenzplanentwurf</w:t>
      </w:r>
    </w:p>
    <w:p>
      <w:pPr>
        <w:ind w:left="567"/>
      </w:pPr>
      <w:r>
        <w:rPr>
          <w:i/>
        </w:rPr>
        <w:t>Az.: 7 IN 41/26 – Möbelwerk Havelberg GmbH</w:t>
      </w:r>
    </w:p>
    <w:p>
      <w:pPr>
        <w:ind w:left="567"/>
      </w:pPr>
      <w:r>
        <w:rPr>
          <w:i/>
        </w:rPr>
        <w:t>Verfasserin: Dr. Nora Westphal, Insolvenzverwalterin</w:t>
      </w:r>
    </w:p>
    <w:p>
      <w:pPr>
        <w:ind w:left="567"/>
      </w:pPr>
      <w:r>
        <w:rPr>
          <w:i/>
        </w:rPr>
        <w:t>Stand: 01.07.2026 (Arbeitsentwurf; Insolvenzplan nur bei Investorenfindung)</w:t>
      </w:r>
    </w:p>
    <w:p/>
    <w:p>
      <w:pPr>
        <w:pStyle w:val="Heading2"/>
      </w:pPr>
      <w:r>
        <w:rPr>
          <w:rFonts w:ascii="Times New Roman" w:hAnsi="Times New Roman"/>
        </w:rPr>
        <w:t>Vorbemerkung</w:t>
      </w:r>
    </w:p>
    <w:p>
      <w:pPr>
        <w:jc w:val="left"/>
      </w:pPr>
      <w:r>
        <w:t>Dieser Entwurf skizziert die Gruppenbildung für einen möglichen Insolvenzplan (§§ 222, 226 InsO). Die Ausarbeitung erfolgt parallel zur Regelabwicklung; eine endgültige Planentscheidung wird erst beim Berichtstermin (14.09.2026) getroffen. Alle Angaben sind vorläufig und beruhen auf dem Kenntnisstand 01.07.2026.</w:t>
      </w:r>
    </w:p>
    <w:p/>
    <w:p>
      <w:pPr>
        <w:pStyle w:val="Heading2"/>
      </w:pPr>
      <w:r>
        <w:rPr>
          <w:rFonts w:ascii="Times New Roman" w:hAnsi="Times New Roman"/>
        </w:rPr>
        <w:t>Rechtlicher Rahmen</w:t>
      </w:r>
    </w:p>
    <w:p>
      <w:pPr>
        <w:jc w:val="left"/>
      </w:pPr>
      <w:r>
        <w:t>Nach § 222 InsO sind Gläubiger in Gruppen einzuteilen, wenn ihre Rechte durch den Plan unterschiedlich gestaltet werden sollen. Innerhalb jeder Gruppe müssen alle Gläubiger gleich behandelt werden (§ 226 InsO). Absonderungsberechtigte Gläubiger, Insolvenzgläubiger und nachrangige Gläubiger sind stets in unterschiedlichen Gruppen zu erfassen (§ 222 Abs. 1 Nr. 1–3 InsO).</w:t>
      </w:r>
    </w:p>
    <w:p/>
    <w:p>
      <w:pPr>
        <w:pStyle w:val="Heading2"/>
      </w:pPr>
      <w:r>
        <w:rPr>
          <w:rFonts w:ascii="Times New Roman" w:hAnsi="Times New Roman"/>
        </w:rPr>
        <w:t>Vorgeschlagene Gruppen</w:t>
      </w:r>
    </w:p>
    <w:p>
      <w:pPr>
        <w:pStyle w:val="Heading3"/>
      </w:pPr>
      <w:r>
        <w:rPr>
          <w:rFonts w:ascii="Times New Roman" w:hAnsi="Times New Roman"/>
        </w:rPr>
        <w:t>Gruppe 1 – Absonderungsberechtigte: Havelbank eG</w:t>
      </w:r>
    </w:p>
    <w:p>
      <w:pPr>
        <w:jc w:val="left"/>
      </w:pPr>
      <w:r>
        <w:rPr>
          <w:b/>
        </w:rPr>
        <w:t>Mitglieder:</w:t>
      </w:r>
      <w:r>
        <w:t xml:space="preserve"> Havelbank eG</w:t>
      </w:r>
    </w:p>
    <w:p>
      <w:pPr>
        <w:jc w:val="left"/>
      </w:pPr>
      <w:r>
        <w:rPr>
          <w:b/>
        </w:rPr>
        <w:t>Forderungsinhalt:</w:t>
      </w:r>
    </w:p>
    <w:p>
      <w:pPr>
        <w:pStyle w:val="ListBullet"/>
      </w:pPr>
      <w:r>
        <w:t>Darlehensrestvaluta: 480.000 EUR</w:t>
      </w:r>
    </w:p>
    <w:p>
      <w:pPr>
        <w:pStyle w:val="ListBullet"/>
      </w:pPr>
      <w:r>
        <w:t>Davon durch Sicherheiten gedeckt (SÜ Maschinen + Globalzession): ca. 343.500 EUR</w:t>
      </w:r>
    </w:p>
    <w:p>
      <w:pPr>
        <w:pStyle w:val="ListBullet"/>
      </w:pPr>
      <w:r>
        <w:t>Ausfallforderung (§ 52 InsO): ca. 136.500 EUR</w:t>
      </w:r>
    </w:p>
    <w:p>
      <w:pPr>
        <w:jc w:val="left"/>
      </w:pPr>
      <w:r>
        <w:rPr>
          <w:b/>
        </w:rPr>
        <w:t>Planerische Gestaltung (Szenario):</w:t>
      </w:r>
    </w:p>
    <w:p>
      <w:pPr>
        <w:pStyle w:val="ListBullet"/>
      </w:pPr>
      <w:r>
        <w:t>Sicherheiten werden durch plangesteuerte Einzelverwertung realisiert; Erlöse unmittelbar an Havelbank.</w:t>
      </w:r>
    </w:p>
    <w:p>
      <w:pPr>
        <w:pStyle w:val="ListBullet"/>
      </w:pPr>
      <w:r>
        <w:t>Die Ausfallforderung (136.500 EUR) wird in Gruppe 3 (ungesicherte Gläubiger) aufgenommen.</w:t>
      </w:r>
    </w:p>
    <w:p>
      <w:pPr>
        <w:pStyle w:val="ListBullet"/>
      </w:pPr>
      <w:r>
        <w:t>Alternativ: Havelbank erhält stille Beteiligung an der Fortführungsgesellschaft als Ausgleich für Teilforderungsverzicht.</w:t>
      </w:r>
    </w:p>
    <w:p>
      <w:pPr>
        <w:jc w:val="left"/>
      </w:pPr>
      <w:r>
        <w:rPr>
          <w:b/>
        </w:rPr>
        <w:t>Offene Fragen:</w:t>
      </w:r>
    </w:p>
    <w:p>
      <w:pPr>
        <w:pStyle w:val="ListBullet"/>
      </w:pPr>
      <w:r>
        <w:t>Ist die Havelbank mit voller Forderung und separatem Ausfall abzubilden (zwei Plangruppen) oder genügt eine Gruppe mit gestuften Rechten?</w:t>
      </w:r>
    </w:p>
    <w:p>
      <w:pPr>
        <w:pStyle w:val="ListBullet"/>
      </w:pPr>
      <w:r>
        <w:t>Wirksamer Umfang der Sicherungsübereignung (Gutachten ausstehend).</w:t>
      </w:r>
    </w:p>
    <w:p>
      <w:pPr>
        <w:pStyle w:val="ListBullet"/>
      </w:pPr>
      <w:r>
        <w:t>Kollision Globalzession vs. verlängerter EV Prignitz Forst KG.</w:t>
      </w:r>
    </w:p>
    <w:p/>
    <w:p>
      <w:pPr>
        <w:pStyle w:val="Heading3"/>
      </w:pPr>
      <w:r>
        <w:rPr>
          <w:rFonts w:ascii="Times New Roman" w:hAnsi="Times New Roman"/>
        </w:rPr>
        <w:t>Gruppe 2 – Betriebsnotwendige Lieferanten (mit Fortsetzungsinteresse)</w:t>
      </w:r>
    </w:p>
    <w:p>
      <w:pPr>
        <w:jc w:val="left"/>
      </w:pPr>
      <w:r>
        <w:rPr>
          <w:b/>
        </w:rPr>
        <w:t>Voraussichtliche Mitglieder:</w:t>
      </w:r>
      <w:r>
        <w:t xml:space="preserve"> Prignitz Forst KG, Holzbauer GmbH &amp; Co. KG, Beschlagwerk Elbe AG</w:t>
      </w:r>
    </w:p>
    <w:p>
      <w:pPr>
        <w:jc w:val="left"/>
      </w:pPr>
      <w:r>
        <w:rPr>
          <w:b/>
        </w:rPr>
        <w:t>Begründung der Gruppenbildung:</w:t>
      </w:r>
      <w:r>
        <w:t xml:space="preserve"> Diese Lieferanten haben ein belastbares wirtschaftliches Interesse an der Fortführung der Geschäftsbeziehung mit der sanierten Gesellschaft (§ 222 Abs. 2 InsO – sachgerechte Unterschiede). Durch bessere Quote in der Sanierung bleiben sie als Lieferanten erhalten und sichern das Weiterbestehen der Möbelproduktion.</w:t>
      </w:r>
    </w:p>
    <w:p>
      <w:pPr>
        <w:jc w:val="left"/>
      </w:pPr>
      <w:r>
        <w:rPr>
          <w:b/>
        </w:rPr>
        <w:t>Planerische Gestaltung:</w:t>
      </w:r>
    </w:p>
    <w:p>
      <w:pPr>
        <w:pStyle w:val="ListBullet"/>
      </w:pPr>
      <w:r>
        <w:t>Quote: 35 % (über Regelverwertungsquote von 18 %) zahlbar innerhalb von 12 Monaten nach Planbestätigung.</w:t>
      </w:r>
    </w:p>
    <w:p>
      <w:pPr>
        <w:pStyle w:val="ListBullet"/>
      </w:pPr>
      <w:r>
        <w:t>Im Gegenzug: Fortsetzung der Lieferbeziehung zu Marktkonditionen, Mindestabnahmeverpflichtung für 24 Monate.</w:t>
      </w:r>
    </w:p>
    <w:p>
      <w:pPr>
        <w:jc w:val="left"/>
      </w:pPr>
      <w:r>
        <w:rPr>
          <w:b/>
        </w:rPr>
        <w:t>Offene Fragen:</w:t>
      </w:r>
    </w:p>
    <w:p>
      <w:pPr>
        <w:pStyle w:val="ListBullet"/>
      </w:pPr>
      <w:r>
        <w:t>Welche Lieferanten sind tatsächlich "betriebsnotwendig" im Sinne der Planfortführung?</w:t>
      </w:r>
    </w:p>
    <w:p>
      <w:pPr>
        <w:pStyle w:val="ListBullet"/>
      </w:pPr>
      <w:r>
        <w:t>EV-Klärung Prignitz Forst KG könnte separate Einigung erfordern.</w:t>
      </w:r>
    </w:p>
    <w:p>
      <w:pPr>
        <w:pStyle w:val="ListBullet"/>
      </w:pPr>
      <w:r>
        <w:t>Gruppeninterne Drittsicherheiten zu prüfen (keine bekannt, aber nicht abschließend geprüft).</w:t>
      </w:r>
    </w:p>
    <w:p/>
    <w:p>
      <w:pPr>
        <w:pStyle w:val="Heading3"/>
      </w:pPr>
      <w:r>
        <w:rPr>
          <w:rFonts w:ascii="Times New Roman" w:hAnsi="Times New Roman"/>
        </w:rPr>
        <w:t>Gruppe 3 – Übrige nicht nachrangige Insolvenzgläubiger</w:t>
      </w:r>
    </w:p>
    <w:p>
      <w:pPr>
        <w:jc w:val="left"/>
      </w:pPr>
      <w:r>
        <w:rPr>
          <w:b/>
        </w:rPr>
        <w:t>Mitglieder:</w:t>
      </w:r>
      <w:r>
        <w:t xml:space="preserve"> Furnier Nord GmbH, Finanzamt Stendal, AOK Sachsen-Anhalt, Havelstrom GbR, Arbeitnehmer (soweit nicht schon durch InsGeld abgedeckt), Würtl-Leasing GmbH, Havelbank eG (Ausfallforderung), M. Kordes (soweit festgestellt)</w:t>
      </w:r>
    </w:p>
    <w:p>
      <w:pPr>
        <w:jc w:val="left"/>
      </w:pPr>
      <w:r>
        <w:rPr>
          <w:b/>
        </w:rPr>
        <w:t>Planerische Gestaltung:</w:t>
      </w:r>
    </w:p>
    <w:p>
      <w:pPr>
        <w:pStyle w:val="ListBullet"/>
      </w:pPr>
      <w:r>
        <w:t>Quote: 22–25 % zahlbar in zwei Tranchen (12 und 24 Monate nach Planbestätigung).</w:t>
      </w:r>
    </w:p>
    <w:p>
      <w:pPr>
        <w:pStyle w:val="ListBullet"/>
      </w:pPr>
      <w:r>
        <w:t>Verzicht auf Zinsansprüche ab Insolvenzantragsdatum.</w:t>
      </w:r>
    </w:p>
    <w:p>
      <w:pPr>
        <w:pStyle w:val="ListBullet"/>
      </w:pPr>
      <w:r>
        <w:t>Forderungen werden nur soweit befriedigt als die fortführende Gesellschaft liquide ist.</w:t>
      </w:r>
    </w:p>
    <w:p>
      <w:pPr>
        <w:jc w:val="left"/>
      </w:pPr>
      <w:r>
        <w:rPr>
          <w:b/>
        </w:rPr>
        <w:t>Besonderheit Arbeitnehmer:</w:t>
      </w:r>
      <w:r>
        <w:t xml:space="preserve"> Arbeitnehmer sind grundsätzlich in § 38-Gruppe, da Insolvenzgeld (§§ 165 ff. SGB III) bereits für März/April 2026 gezahlt. Restforderungen (Urlaubsabgeltung, überstehende Ansprüche) fließen in Gruppe 3.</w:t>
      </w:r>
    </w:p>
    <w:p/>
    <w:p>
      <w:pPr>
        <w:pStyle w:val="Heading3"/>
      </w:pPr>
      <w:r>
        <w:rPr>
          <w:rFonts w:ascii="Times New Roman" w:hAnsi="Times New Roman"/>
        </w:rPr>
        <w:t>Gruppe 4 – Nachrangige Gläubiger (§ 39 InsO)</w:t>
      </w:r>
    </w:p>
    <w:p>
      <w:pPr>
        <w:jc w:val="left"/>
      </w:pPr>
      <w:r>
        <w:rPr>
          <w:b/>
        </w:rPr>
        <w:t>Mitglieder:</w:t>
      </w:r>
      <w:r>
        <w:t xml:space="preserve"> Tim Brauer (Gesellschafterdarlehen 120.000 EUR)</w:t>
      </w:r>
    </w:p>
    <w:p>
      <w:pPr>
        <w:jc w:val="left"/>
      </w:pPr>
      <w:r>
        <w:rPr>
          <w:b/>
        </w:rPr>
        <w:t>Planerische Gestaltung:</w:t>
      </w:r>
    </w:p>
    <w:p>
      <w:pPr>
        <w:pStyle w:val="ListBullet"/>
      </w:pPr>
      <w:r>
        <w:t>Quote: 0 % (vollständiger Verzicht im Sanierungsplan). Dies ist marktüblich bei Gesellschafterdarlehen in der Insolvenz.</w:t>
      </w:r>
    </w:p>
    <w:p>
      <w:pPr>
        <w:pStyle w:val="ListBullet"/>
      </w:pPr>
      <w:r>
        <w:t>Brauer erklärt sich zum Verzicht bereit im Gegenzug für D&amp;O-Vergleich (keine weitergehende persönliche Haftung aus § 15b InsO nach Vergleich).</w:t>
      </w:r>
    </w:p>
    <w:p/>
    <w:p>
      <w:pPr>
        <w:pStyle w:val="Heading2"/>
      </w:pPr>
      <w:r>
        <w:rPr>
          <w:rFonts w:ascii="Times New Roman" w:hAnsi="Times New Roman"/>
        </w:rPr>
        <w:t>Weitere Planbestandteile (Grobstruktur)</w:t>
      </w:r>
    </w:p>
    <w:p>
      <w:pPr>
        <w:pStyle w:val="Heading3"/>
      </w:pPr>
      <w:r>
        <w:rPr>
          <w:rFonts w:ascii="Times New Roman" w:hAnsi="Times New Roman"/>
        </w:rPr>
        <w:t>Darstellender Teil</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Abschnitt</w:t>
            </w:r>
          </w:p>
        </w:tc>
        <w:tc>
          <w:tcPr>
            <w:tcW w:type="dxa" w:w="4536"/>
          </w:tcPr>
          <w:p>
            <w:r>
              <w:rPr>
                <w:rFonts w:ascii="Times New Roman" w:hAnsi="Times New Roman"/>
                <w:b/>
                <w:sz w:val="20"/>
              </w:rPr>
              <w:t>Inhalt</w:t>
            </w:r>
          </w:p>
        </w:tc>
      </w:tr>
      <w:tr>
        <w:tc>
          <w:tcPr>
            <w:tcW w:type="dxa" w:w="4536"/>
          </w:tcPr>
          <w:p>
            <w:r>
              <w:rPr>
                <w:rFonts w:ascii="Times New Roman" w:hAnsi="Times New Roman"/>
                <w:sz w:val="20"/>
              </w:rPr>
              <w:t>Ist-Zustand</w:t>
            </w:r>
          </w:p>
        </w:tc>
        <w:tc>
          <w:tcPr>
            <w:tcW w:type="dxa" w:w="4536"/>
          </w:tcPr>
          <w:p>
            <w:r>
              <w:rPr>
                <w:rFonts w:ascii="Times New Roman" w:hAnsi="Times New Roman"/>
                <w:sz w:val="20"/>
              </w:rPr>
              <w:t>Schuldnerfragebogen, Masseverzeichnis, Forderungsstand</w:t>
            </w:r>
          </w:p>
        </w:tc>
      </w:tr>
      <w:tr>
        <w:tc>
          <w:tcPr>
            <w:tcW w:type="dxa" w:w="4536"/>
          </w:tcPr>
          <w:p>
            <w:r>
              <w:rPr>
                <w:rFonts w:ascii="Times New Roman" w:hAnsi="Times New Roman"/>
                <w:sz w:val="20"/>
              </w:rPr>
              <w:t>Ursachenanalyse</w:t>
            </w:r>
          </w:p>
        </w:tc>
        <w:tc>
          <w:tcPr>
            <w:tcW w:type="dxa" w:w="4536"/>
          </w:tcPr>
          <w:p>
            <w:r>
              <w:rPr>
                <w:rFonts w:ascii="Times New Roman" w:hAnsi="Times New Roman"/>
                <w:sz w:val="20"/>
              </w:rPr>
              <w:t>Auftragsmangel ab Q4/2025, Rohstoffpreise, Buchführungsmängel</w:t>
            </w:r>
          </w:p>
        </w:tc>
      </w:tr>
      <w:tr>
        <w:tc>
          <w:tcPr>
            <w:tcW w:type="dxa" w:w="4536"/>
          </w:tcPr>
          <w:p>
            <w:r>
              <w:rPr>
                <w:rFonts w:ascii="Times New Roman" w:hAnsi="Times New Roman"/>
                <w:sz w:val="20"/>
              </w:rPr>
              <w:t>Sanierungsmaßnahmen</w:t>
            </w:r>
          </w:p>
        </w:tc>
        <w:tc>
          <w:tcPr>
            <w:tcW w:type="dxa" w:w="4536"/>
          </w:tcPr>
          <w:p>
            <w:r>
              <w:rPr>
                <w:rFonts w:ascii="Times New Roman" w:hAnsi="Times New Roman"/>
                <w:sz w:val="20"/>
              </w:rPr>
              <w:t>Neues Management, Kostenstruktur, Fokus auf Pflegeheim-/Kliniksektor</w:t>
            </w:r>
          </w:p>
        </w:tc>
      </w:tr>
      <w:tr>
        <w:tc>
          <w:tcPr>
            <w:tcW w:type="dxa" w:w="4536"/>
          </w:tcPr>
          <w:p>
            <w:r>
              <w:rPr>
                <w:rFonts w:ascii="Times New Roman" w:hAnsi="Times New Roman"/>
                <w:sz w:val="20"/>
              </w:rPr>
              <w:t>Vergleichsrechnung</w:t>
            </w:r>
          </w:p>
        </w:tc>
        <w:tc>
          <w:tcPr>
            <w:tcW w:type="dxa" w:w="4536"/>
          </w:tcPr>
          <w:p>
            <w:r>
              <w:rPr>
                <w:rFonts w:ascii="Times New Roman" w:hAnsi="Times New Roman"/>
                <w:sz w:val="20"/>
              </w:rPr>
              <w:t>Tabelle Zerschlagung vs. Übertragende Sanierung vs. Sanierungsplan</w:t>
            </w:r>
          </w:p>
        </w:tc>
      </w:tr>
    </w:tbl>
    <w:p>
      <w:pPr>
        <w:pStyle w:val="Heading3"/>
      </w:pPr>
      <w:r>
        <w:rPr>
          <w:rFonts w:ascii="Times New Roman" w:hAnsi="Times New Roman"/>
        </w:rPr>
        <w:t>Gestaltender Teil</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Abschnitt</w:t>
            </w:r>
          </w:p>
        </w:tc>
        <w:tc>
          <w:tcPr>
            <w:tcW w:type="dxa" w:w="4536"/>
          </w:tcPr>
          <w:p>
            <w:r>
              <w:rPr>
                <w:rFonts w:ascii="Times New Roman" w:hAnsi="Times New Roman"/>
                <w:b/>
                <w:sz w:val="20"/>
              </w:rPr>
              <w:t>Inhalt</w:t>
            </w:r>
          </w:p>
        </w:tc>
      </w:tr>
      <w:tr>
        <w:tc>
          <w:tcPr>
            <w:tcW w:type="dxa" w:w="4536"/>
          </w:tcPr>
          <w:p>
            <w:r>
              <w:rPr>
                <w:rFonts w:ascii="Times New Roman" w:hAnsi="Times New Roman"/>
                <w:sz w:val="20"/>
              </w:rPr>
              <w:t>Gruppenbildung</w:t>
            </w:r>
          </w:p>
        </w:tc>
        <w:tc>
          <w:tcPr>
            <w:tcW w:type="dxa" w:w="4536"/>
          </w:tcPr>
          <w:p>
            <w:r>
              <w:rPr>
                <w:rFonts w:ascii="Times New Roman" w:hAnsi="Times New Roman"/>
                <w:sz w:val="20"/>
              </w:rPr>
              <w:t>Wie oben</w:t>
            </w:r>
          </w:p>
        </w:tc>
      </w:tr>
      <w:tr>
        <w:tc>
          <w:tcPr>
            <w:tcW w:type="dxa" w:w="4536"/>
          </w:tcPr>
          <w:p>
            <w:r>
              <w:rPr>
                <w:rFonts w:ascii="Times New Roman" w:hAnsi="Times New Roman"/>
                <w:sz w:val="20"/>
              </w:rPr>
              <w:t>Zahlungsmodalitäten</w:t>
            </w:r>
          </w:p>
        </w:tc>
        <w:tc>
          <w:tcPr>
            <w:tcW w:type="dxa" w:w="4536"/>
          </w:tcPr>
          <w:p>
            <w:r>
              <w:rPr>
                <w:rFonts w:ascii="Times New Roman" w:hAnsi="Times New Roman"/>
                <w:sz w:val="20"/>
              </w:rPr>
              <w:t>Tranchen, Fälligkeit, Treuhandkonto</w:t>
            </w:r>
          </w:p>
        </w:tc>
      </w:tr>
      <w:tr>
        <w:tc>
          <w:tcPr>
            <w:tcW w:type="dxa" w:w="4536"/>
          </w:tcPr>
          <w:p>
            <w:r>
              <w:rPr>
                <w:rFonts w:ascii="Times New Roman" w:hAnsi="Times New Roman"/>
                <w:sz w:val="20"/>
              </w:rPr>
              <w:t>Planbedingungen</w:t>
            </w:r>
          </w:p>
        </w:tc>
        <w:tc>
          <w:tcPr>
            <w:tcW w:type="dxa" w:w="4536"/>
          </w:tcPr>
          <w:p>
            <w:r>
              <w:rPr>
                <w:rFonts w:ascii="Times New Roman" w:hAnsi="Times New Roman"/>
                <w:sz w:val="20"/>
              </w:rPr>
              <w:t>Investoreintritt, Banklinie, Mindestliquidität</w:t>
            </w:r>
          </w:p>
        </w:tc>
      </w:tr>
      <w:tr>
        <w:tc>
          <w:tcPr>
            <w:tcW w:type="dxa" w:w="4536"/>
          </w:tcPr>
          <w:p>
            <w:r>
              <w:rPr>
                <w:rFonts w:ascii="Times New Roman" w:hAnsi="Times New Roman"/>
                <w:sz w:val="20"/>
              </w:rPr>
              <w:t>Insolvenzplanverwalterin</w:t>
            </w:r>
          </w:p>
        </w:tc>
        <w:tc>
          <w:tcPr>
            <w:tcW w:type="dxa" w:w="4536"/>
          </w:tcPr>
          <w:p>
            <w:r>
              <w:rPr>
                <w:rFonts w:ascii="Times New Roman" w:hAnsi="Times New Roman"/>
                <w:sz w:val="20"/>
              </w:rPr>
              <w:t>Dr. Westphal für Überwachungszeitraum (§ 261 InsO)</w:t>
            </w:r>
          </w:p>
        </w:tc>
      </w:tr>
    </w:tbl>
    <w:p/>
    <w:p>
      <w:pPr>
        <w:pStyle w:val="Heading2"/>
      </w:pPr>
      <w:r>
        <w:rPr>
          <w:rFonts w:ascii="Times New Roman" w:hAnsi="Times New Roman"/>
        </w:rPr>
        <w:t>Zeitplan (bei Investorfindung bis 01.08.2026)</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Schritt</w:t>
            </w:r>
          </w:p>
        </w:tc>
        <w:tc>
          <w:tcPr>
            <w:tcW w:type="dxa" w:w="4536"/>
          </w:tcPr>
          <w:p>
            <w:r>
              <w:rPr>
                <w:rFonts w:ascii="Times New Roman" w:hAnsi="Times New Roman"/>
                <w:b/>
                <w:sz w:val="20"/>
              </w:rPr>
              <w:t>Termin</w:t>
            </w:r>
          </w:p>
        </w:tc>
      </w:tr>
      <w:tr>
        <w:tc>
          <w:tcPr>
            <w:tcW w:type="dxa" w:w="4536"/>
          </w:tcPr>
          <w:p>
            <w:r>
              <w:rPr>
                <w:rFonts w:ascii="Times New Roman" w:hAnsi="Times New Roman"/>
                <w:sz w:val="20"/>
              </w:rPr>
              <w:t>Investorenbrief und Erstgespräche</w:t>
            </w:r>
          </w:p>
        </w:tc>
        <w:tc>
          <w:tcPr>
            <w:tcW w:type="dxa" w:w="4536"/>
          </w:tcPr>
          <w:p>
            <w:r>
              <w:rPr>
                <w:rFonts w:ascii="Times New Roman" w:hAnsi="Times New Roman"/>
                <w:sz w:val="20"/>
              </w:rPr>
              <w:t>20.07.2026</w:t>
            </w:r>
          </w:p>
        </w:tc>
      </w:tr>
      <w:tr>
        <w:tc>
          <w:tcPr>
            <w:tcW w:type="dxa" w:w="4536"/>
          </w:tcPr>
          <w:p>
            <w:r>
              <w:rPr>
                <w:rFonts w:ascii="Times New Roman" w:hAnsi="Times New Roman"/>
                <w:sz w:val="20"/>
              </w:rPr>
              <w:t>Letter of Intent (LOI)</w:t>
            </w:r>
          </w:p>
        </w:tc>
        <w:tc>
          <w:tcPr>
            <w:tcW w:type="dxa" w:w="4536"/>
          </w:tcPr>
          <w:p>
            <w:r>
              <w:rPr>
                <w:rFonts w:ascii="Times New Roman" w:hAnsi="Times New Roman"/>
                <w:sz w:val="20"/>
              </w:rPr>
              <w:t>10.08.2026</w:t>
            </w:r>
          </w:p>
        </w:tc>
      </w:tr>
      <w:tr>
        <w:tc>
          <w:tcPr>
            <w:tcW w:type="dxa" w:w="4536"/>
          </w:tcPr>
          <w:p>
            <w:r>
              <w:rPr>
                <w:rFonts w:ascii="Times New Roman" w:hAnsi="Times New Roman"/>
                <w:sz w:val="20"/>
              </w:rPr>
              <w:t>Planentwurf (erste Fassung)</w:t>
            </w:r>
          </w:p>
        </w:tc>
        <w:tc>
          <w:tcPr>
            <w:tcW w:type="dxa" w:w="4536"/>
          </w:tcPr>
          <w:p>
            <w:r>
              <w:rPr>
                <w:rFonts w:ascii="Times New Roman" w:hAnsi="Times New Roman"/>
                <w:sz w:val="20"/>
              </w:rPr>
              <w:t>01.09.2026</w:t>
            </w:r>
          </w:p>
        </w:tc>
      </w:tr>
      <w:tr>
        <w:tc>
          <w:tcPr>
            <w:tcW w:type="dxa" w:w="4536"/>
          </w:tcPr>
          <w:p>
            <w:r>
              <w:rPr>
                <w:rFonts w:ascii="Times New Roman" w:hAnsi="Times New Roman"/>
                <w:sz w:val="20"/>
              </w:rPr>
              <w:t>Übermittlung an Gläubiger</w:t>
            </w:r>
          </w:p>
        </w:tc>
        <w:tc>
          <w:tcPr>
            <w:tcW w:type="dxa" w:w="4536"/>
          </w:tcPr>
          <w:p>
            <w:r>
              <w:rPr>
                <w:rFonts w:ascii="Times New Roman" w:hAnsi="Times New Roman"/>
                <w:sz w:val="20"/>
              </w:rPr>
              <w:t>10.09.2026</w:t>
            </w:r>
          </w:p>
        </w:tc>
      </w:tr>
      <w:tr>
        <w:tc>
          <w:tcPr>
            <w:tcW w:type="dxa" w:w="4536"/>
          </w:tcPr>
          <w:p>
            <w:r>
              <w:rPr>
                <w:rFonts w:ascii="Times New Roman" w:hAnsi="Times New Roman"/>
                <w:sz w:val="20"/>
              </w:rPr>
              <w:t>Berichtstermin / Erörterung Planentwurf</w:t>
            </w:r>
          </w:p>
        </w:tc>
        <w:tc>
          <w:tcPr>
            <w:tcW w:type="dxa" w:w="4536"/>
          </w:tcPr>
          <w:p>
            <w:r>
              <w:rPr>
                <w:rFonts w:ascii="Times New Roman" w:hAnsi="Times New Roman"/>
                <w:sz w:val="20"/>
              </w:rPr>
              <w:t>14.09.2026</w:t>
            </w:r>
          </w:p>
        </w:tc>
      </w:tr>
      <w:tr>
        <w:tc>
          <w:tcPr>
            <w:tcW w:type="dxa" w:w="4536"/>
          </w:tcPr>
          <w:p>
            <w:r>
              <w:rPr>
                <w:rFonts w:ascii="Times New Roman" w:hAnsi="Times New Roman"/>
                <w:sz w:val="20"/>
              </w:rPr>
              <w:t>Abstimmungstermin (§ 235 InsO)</w:t>
            </w:r>
          </w:p>
        </w:tc>
        <w:tc>
          <w:tcPr>
            <w:tcW w:type="dxa" w:w="4536"/>
          </w:tcPr>
          <w:p>
            <w:r>
              <w:rPr>
                <w:rFonts w:ascii="Times New Roman" w:hAnsi="Times New Roman"/>
                <w:sz w:val="20"/>
              </w:rPr>
              <w:t>28.10.2026</w:t>
            </w:r>
          </w:p>
        </w:tc>
      </w:tr>
      <w:tr>
        <w:tc>
          <w:tcPr>
            <w:tcW w:type="dxa" w:w="4536"/>
          </w:tcPr>
          <w:p>
            <w:r>
              <w:rPr>
                <w:rFonts w:ascii="Times New Roman" w:hAnsi="Times New Roman"/>
                <w:sz w:val="20"/>
              </w:rPr>
              <w:t>Planbestätigung durch Gericht</w:t>
            </w:r>
          </w:p>
        </w:tc>
        <w:tc>
          <w:tcPr>
            <w:tcW w:type="dxa" w:w="4536"/>
          </w:tcPr>
          <w:p>
            <w:r>
              <w:rPr>
                <w:rFonts w:ascii="Times New Roman" w:hAnsi="Times New Roman"/>
                <w:sz w:val="20"/>
              </w:rPr>
              <w:t>15.11.2026</w:t>
            </w:r>
          </w:p>
        </w:tc>
      </w:tr>
    </w:tbl>
    <w:p/>
    <w:p>
      <w:pPr>
        <w:jc w:val="left"/>
      </w:pPr>
      <w:r>
        <w:rPr>
          <w:i/>
        </w:rPr>
        <w:t>Dr. Nora Westphal, Insolvenzverwalterin, Magdeburg, 01.07.2026</w:t>
      </w:r>
    </w:p>
    <w:p>
      <w:pPr>
        <w:jc w:val="left"/>
      </w:pPr>
      <w:r>
        <w:rPr>
          <w:i/>
        </w:rPr>
        <w:t>Arbeitsentwurf – noch nicht zur Vorlage an Gläubiger freigegeben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