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Plan-Quality-Gate – Checkliste vor Planvorlage</w:t>
      </w:r>
    </w:p>
    <w:p>
      <w:pPr>
        <w:ind w:left="567"/>
      </w:pPr>
      <w:r>
        <w:rPr>
          <w:i/>
        </w:rPr>
        <w:t>Az.: 7 IN 41/26 – Möbelwerk Havelberg GmbH</w:t>
      </w:r>
    </w:p>
    <w:p>
      <w:pPr>
        <w:ind w:left="567"/>
      </w:pPr>
      <w:r>
        <w:rPr>
          <w:i/>
        </w:rPr>
        <w:t>Verfasserin: Dr. Nora Westphal, Insolvenzverwalterin</w:t>
      </w:r>
    </w:p>
    <w:p>
      <w:pPr>
        <w:ind w:left="567"/>
      </w:pPr>
      <w:r>
        <w:rPr>
          <w:i/>
        </w:rPr>
        <w:t>Stand: 01.08.2026 (Ergebnis: kein Plan – Regelabwicklung)</w:t>
      </w:r>
    </w:p>
    <w:p/>
    <w:p>
      <w:pPr>
        <w:pStyle w:val="Heading2"/>
      </w:pPr>
      <w:r>
        <w:rPr>
          <w:rFonts w:ascii="Times New Roman" w:hAnsi="Times New Roman"/>
        </w:rPr>
        <w:t>Zweck dieser Checkliste</w:t>
      </w:r>
    </w:p>
    <w:p>
      <w:pPr>
        <w:jc w:val="left"/>
      </w:pPr>
      <w:r>
        <w:t>Bevor ein Insolvenzplan dem Insolvenzgericht und den Gläubigern vorgelegt werden darf, muss die Insolvenzverwalterin sicherstellen, dass alle formellen und materiellen Mindestvoraussetzungen (§§ 219 ff. InsO) erfüllt sind und der Plan einer kritischen Prüfung standhält. Dieses "Quality Gate" dokumentiert die Prüfung im Fall Möbelwerk Havelberg.</w:t>
      </w:r>
    </w:p>
    <w:p/>
    <w:p>
      <w:pPr>
        <w:pStyle w:val="Heading2"/>
      </w:pPr>
      <w:r>
        <w:rPr>
          <w:rFonts w:ascii="Times New Roman" w:hAnsi="Times New Roman"/>
        </w:rPr>
        <w:t>Kategorie A – Formelle Mindestvoraussetzungen (§ 219 InsO)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Prüfpunkt</w:t>
            </w:r>
          </w:p>
        </w:tc>
        <w:tc>
          <w:tcPr>
            <w:tcW w:type="dxa" w:w="2268"/>
          </w:tcPr>
          <w:p>
            <w:r>
              <w:rPr>
                <w:rFonts w:ascii="Times New Roman" w:hAnsi="Times New Roman"/>
                <w:b/>
                <w:sz w:val="20"/>
              </w:rPr>
              <w:t>Status</w:t>
            </w:r>
          </w:p>
        </w:tc>
        <w:tc>
          <w:tcPr>
            <w:tcW w:type="dxa" w:w="2268"/>
          </w:tcPr>
          <w:p>
            <w:r>
              <w:rPr>
                <w:rFonts w:ascii="Times New Roman" w:hAnsi="Times New Roman"/>
                <w:b/>
                <w:sz w:val="20"/>
              </w:rPr>
              <w:t>Befund</w:t>
            </w:r>
          </w:p>
        </w:tc>
      </w:tr>
      <w:tr>
        <w:tc>
          <w:tcPr>
            <w:tcW w:type="dxa" w:w="2268"/>
          </w:tcPr>
          <w:p>
            <w:r>
              <w:rPr>
                <w:rFonts w:ascii="Times New Roman" w:hAnsi="Times New Roman"/>
                <w:sz w:val="20"/>
              </w:rPr>
              <w:t>A-1</w:t>
            </w:r>
          </w:p>
        </w:tc>
        <w:tc>
          <w:tcPr>
            <w:tcW w:type="dxa" w:w="2268"/>
          </w:tcPr>
          <w:p>
            <w:r>
              <w:rPr>
                <w:rFonts w:ascii="Times New Roman" w:hAnsi="Times New Roman"/>
                <w:sz w:val="20"/>
              </w:rPr>
              <w:t>Darstellender Teil vorhanden</w:t>
            </w:r>
          </w:p>
        </w:tc>
        <w:tc>
          <w:tcPr>
            <w:tcW w:type="dxa" w:w="2268"/>
          </w:tcPr>
          <w:p>
            <w:r>
              <w:rPr>
                <w:rFonts w:ascii="Times New Roman" w:hAnsi="Times New Roman"/>
                <w:b/>
                <w:sz w:val="20"/>
              </w:rPr>
              <w:t>Nicht erfüllt</w:t>
            </w:r>
          </w:p>
        </w:tc>
        <w:tc>
          <w:tcPr>
            <w:tcW w:type="dxa" w:w="2268"/>
          </w:tcPr>
          <w:p>
            <w:r>
              <w:rPr>
                <w:rFonts w:ascii="Times New Roman" w:hAnsi="Times New Roman"/>
                <w:sz w:val="20"/>
              </w:rPr>
              <w:t>Nur Arbeitsskizze vorhanden; kein ausformulierter Ist-Zustand</w:t>
            </w:r>
          </w:p>
        </w:tc>
      </w:tr>
      <w:tr>
        <w:tc>
          <w:tcPr>
            <w:tcW w:type="dxa" w:w="2268"/>
          </w:tcPr>
          <w:p>
            <w:r>
              <w:rPr>
                <w:rFonts w:ascii="Times New Roman" w:hAnsi="Times New Roman"/>
                <w:sz w:val="20"/>
              </w:rPr>
              <w:t>A-2</w:t>
            </w:r>
          </w:p>
        </w:tc>
        <w:tc>
          <w:tcPr>
            <w:tcW w:type="dxa" w:w="2268"/>
          </w:tcPr>
          <w:p>
            <w:r>
              <w:rPr>
                <w:rFonts w:ascii="Times New Roman" w:hAnsi="Times New Roman"/>
                <w:sz w:val="20"/>
              </w:rPr>
              <w:t>Gestaltender Teil vorhanden</w:t>
            </w:r>
          </w:p>
        </w:tc>
        <w:tc>
          <w:tcPr>
            <w:tcW w:type="dxa" w:w="2268"/>
          </w:tcPr>
          <w:p>
            <w:r>
              <w:rPr>
                <w:rFonts w:ascii="Times New Roman" w:hAnsi="Times New Roman"/>
                <w:b/>
                <w:sz w:val="20"/>
              </w:rPr>
              <w:t>Nicht erfüllt</w:t>
            </w:r>
          </w:p>
        </w:tc>
        <w:tc>
          <w:tcPr>
            <w:tcW w:type="dxa" w:w="2268"/>
          </w:tcPr>
          <w:p>
            <w:r>
              <w:rPr>
                <w:rFonts w:ascii="Times New Roman" w:hAnsi="Times New Roman"/>
                <w:sz w:val="20"/>
              </w:rPr>
              <w:t>Gruppenbildungsentwurf vorhanden, Zahlungsmodalitäten fehlen</w:t>
            </w:r>
          </w:p>
        </w:tc>
      </w:tr>
      <w:tr>
        <w:tc>
          <w:tcPr>
            <w:tcW w:type="dxa" w:w="2268"/>
          </w:tcPr>
          <w:p>
            <w:r>
              <w:rPr>
                <w:rFonts w:ascii="Times New Roman" w:hAnsi="Times New Roman"/>
                <w:sz w:val="20"/>
              </w:rPr>
              <w:t>A-3</w:t>
            </w:r>
          </w:p>
        </w:tc>
        <w:tc>
          <w:tcPr>
            <w:tcW w:type="dxa" w:w="2268"/>
          </w:tcPr>
          <w:p>
            <w:r>
              <w:rPr>
                <w:rFonts w:ascii="Times New Roman" w:hAnsi="Times New Roman"/>
                <w:sz w:val="20"/>
              </w:rPr>
              <w:t>Vergleichsrechnung Gläubiger (§ 220 Abs. 2 InsO)</w:t>
            </w:r>
          </w:p>
        </w:tc>
        <w:tc>
          <w:tcPr>
            <w:tcW w:type="dxa" w:w="2268"/>
          </w:tcPr>
          <w:p>
            <w:r>
              <w:rPr>
                <w:rFonts w:ascii="Times New Roman" w:hAnsi="Times New Roman"/>
                <w:b/>
                <w:sz w:val="20"/>
              </w:rPr>
              <w:t>Nicht erfüllt</w:t>
            </w:r>
          </w:p>
        </w:tc>
        <w:tc>
          <w:tcPr>
            <w:tcW w:type="dxa" w:w="2268"/>
          </w:tcPr>
          <w:p>
            <w:r>
              <w:rPr>
                <w:rFonts w:ascii="Times New Roman" w:hAnsi="Times New Roman"/>
                <w:sz w:val="20"/>
              </w:rPr>
              <w:t>Zu grob; keine belastbare Liquidationswerttabelle</w:t>
            </w:r>
          </w:p>
        </w:tc>
      </w:tr>
      <w:tr>
        <w:tc>
          <w:tcPr>
            <w:tcW w:type="dxa" w:w="2268"/>
          </w:tcPr>
          <w:p>
            <w:r>
              <w:rPr>
                <w:rFonts w:ascii="Times New Roman" w:hAnsi="Times New Roman"/>
                <w:sz w:val="20"/>
              </w:rPr>
              <w:t>A-4</w:t>
            </w:r>
          </w:p>
        </w:tc>
        <w:tc>
          <w:tcPr>
            <w:tcW w:type="dxa" w:w="2268"/>
          </w:tcPr>
          <w:p>
            <w:r>
              <w:rPr>
                <w:rFonts w:ascii="Times New Roman" w:hAnsi="Times New Roman"/>
                <w:sz w:val="20"/>
              </w:rPr>
              <w:t>Planbedingungen klar formuliert</w:t>
            </w:r>
          </w:p>
        </w:tc>
        <w:tc>
          <w:tcPr>
            <w:tcW w:type="dxa" w:w="2268"/>
          </w:tcPr>
          <w:p>
            <w:r>
              <w:rPr>
                <w:rFonts w:ascii="Times New Roman" w:hAnsi="Times New Roman"/>
                <w:b/>
                <w:sz w:val="20"/>
              </w:rPr>
              <w:t>Nicht erfüllt</w:t>
            </w:r>
          </w:p>
        </w:tc>
        <w:tc>
          <w:tcPr>
            <w:tcW w:type="dxa" w:w="2268"/>
          </w:tcPr>
          <w:p>
            <w:r>
              <w:rPr>
                <w:rFonts w:ascii="Times New Roman" w:hAnsi="Times New Roman"/>
                <w:sz w:val="20"/>
              </w:rPr>
              <w:t>Investorbedingung nicht abgeschlossen</w:t>
            </w:r>
          </w:p>
        </w:tc>
      </w:tr>
      <w:tr>
        <w:tc>
          <w:tcPr>
            <w:tcW w:type="dxa" w:w="2268"/>
          </w:tcPr>
          <w:p>
            <w:r>
              <w:rPr>
                <w:rFonts w:ascii="Times New Roman" w:hAnsi="Times New Roman"/>
                <w:sz w:val="20"/>
              </w:rPr>
              <w:t>A-5</w:t>
            </w:r>
          </w:p>
        </w:tc>
        <w:tc>
          <w:tcPr>
            <w:tcW w:type="dxa" w:w="2268"/>
          </w:tcPr>
          <w:p>
            <w:r>
              <w:rPr>
                <w:rFonts w:ascii="Times New Roman" w:hAnsi="Times New Roman"/>
                <w:sz w:val="20"/>
              </w:rPr>
              <w:t>Alle Gläubigergruppen identifiziert</w:t>
            </w:r>
          </w:p>
        </w:tc>
        <w:tc>
          <w:tcPr>
            <w:tcW w:type="dxa" w:w="2268"/>
          </w:tcPr>
          <w:p>
            <w:r>
              <w:rPr>
                <w:rFonts w:ascii="Times New Roman" w:hAnsi="Times New Roman"/>
                <w:b/>
                <w:sz w:val="20"/>
              </w:rPr>
              <w:t>Teilweise</w:t>
            </w:r>
          </w:p>
        </w:tc>
        <w:tc>
          <w:tcPr>
            <w:tcW w:type="dxa" w:w="2268"/>
          </w:tcPr>
          <w:p>
            <w:r>
              <w:rPr>
                <w:rFonts w:ascii="Times New Roman" w:hAnsi="Times New Roman"/>
                <w:sz w:val="20"/>
              </w:rPr>
              <w:t>Drei von vier Gruppen skizziert</w:t>
            </w:r>
          </w:p>
        </w:tc>
      </w:tr>
      <w:tr>
        <w:tc>
          <w:tcPr>
            <w:tcW w:type="dxa" w:w="2268"/>
          </w:tcPr>
          <w:p>
            <w:r>
              <w:rPr>
                <w:rFonts w:ascii="Times New Roman" w:hAnsi="Times New Roman"/>
                <w:sz w:val="20"/>
              </w:rPr>
              <w:t>A-6</w:t>
            </w:r>
          </w:p>
        </w:tc>
        <w:tc>
          <w:tcPr>
            <w:tcW w:type="dxa" w:w="2268"/>
          </w:tcPr>
          <w:p>
            <w:r>
              <w:rPr>
                <w:rFonts w:ascii="Times New Roman" w:hAnsi="Times New Roman"/>
                <w:sz w:val="20"/>
              </w:rPr>
              <w:t>Abstimmungsmodalitäten festgelegt</w:t>
            </w:r>
          </w:p>
        </w:tc>
        <w:tc>
          <w:tcPr>
            <w:tcW w:type="dxa" w:w="2268"/>
          </w:tcPr>
          <w:p>
            <w:r>
              <w:rPr>
                <w:rFonts w:ascii="Times New Roman" w:hAnsi="Times New Roman"/>
                <w:b/>
                <w:sz w:val="20"/>
              </w:rPr>
              <w:t>Nicht erfüllt</w:t>
            </w:r>
          </w:p>
        </w:tc>
        <w:tc>
          <w:tcPr>
            <w:tcW w:type="dxa" w:w="2268"/>
          </w:tcPr>
          <w:p>
            <w:r>
              <w:rPr>
                <w:rFonts w:ascii="Times New Roman" w:hAnsi="Times New Roman"/>
                <w:sz w:val="20"/>
              </w:rPr>
              <w:t>Termin offen</w:t>
            </w:r>
          </w:p>
        </w:tc>
      </w:tr>
    </w:tbl>
    <w:p>
      <w:pPr>
        <w:jc w:val="left"/>
      </w:pPr>
      <w:r>
        <w:rPr>
          <w:b/>
        </w:rPr>
        <w:t>Ergebnis Kategorie A:</w:t>
      </w:r>
      <w:r>
        <w:t xml:space="preserve"> 0 von 6 Kriterien vollständig erfüllt. </w:t>
      </w:r>
      <w:r>
        <w:rPr>
          <w:b/>
        </w:rPr>
        <w:t>Plan nicht vorlagebereit.</w:t>
      </w:r>
    </w:p>
    <w:p/>
    <w:p>
      <w:pPr>
        <w:pStyle w:val="Heading2"/>
      </w:pPr>
      <w:r>
        <w:rPr>
          <w:rFonts w:ascii="Times New Roman" w:hAnsi="Times New Roman"/>
        </w:rPr>
        <w:t>Kategorie B – Materielle Anforderungen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Prüfpunkt</w:t>
            </w:r>
          </w:p>
        </w:tc>
        <w:tc>
          <w:tcPr>
            <w:tcW w:type="dxa" w:w="2268"/>
          </w:tcPr>
          <w:p>
            <w:r>
              <w:rPr>
                <w:rFonts w:ascii="Times New Roman" w:hAnsi="Times New Roman"/>
                <w:b/>
                <w:sz w:val="20"/>
              </w:rPr>
              <w:t>Status</w:t>
            </w:r>
          </w:p>
        </w:tc>
        <w:tc>
          <w:tcPr>
            <w:tcW w:type="dxa" w:w="2268"/>
          </w:tcPr>
          <w:p>
            <w:r>
              <w:rPr>
                <w:rFonts w:ascii="Times New Roman" w:hAnsi="Times New Roman"/>
                <w:b/>
                <w:sz w:val="20"/>
              </w:rPr>
              <w:t>Befund</w:t>
            </w:r>
          </w:p>
        </w:tc>
      </w:tr>
      <w:tr>
        <w:tc>
          <w:tcPr>
            <w:tcW w:type="dxa" w:w="2268"/>
          </w:tcPr>
          <w:p>
            <w:r>
              <w:rPr>
                <w:rFonts w:ascii="Times New Roman" w:hAnsi="Times New Roman"/>
                <w:sz w:val="20"/>
              </w:rPr>
              <w:t>B-1</w:t>
            </w:r>
          </w:p>
        </w:tc>
        <w:tc>
          <w:tcPr>
            <w:tcW w:type="dxa" w:w="2268"/>
          </w:tcPr>
          <w:p>
            <w:r>
              <w:rPr>
                <w:rFonts w:ascii="Times New Roman" w:hAnsi="Times New Roman"/>
                <w:sz w:val="20"/>
              </w:rPr>
              <w:t>Sicherheitenwerte Havelbank eG final</w:t>
            </w:r>
          </w:p>
        </w:tc>
        <w:tc>
          <w:tcPr>
            <w:tcW w:type="dxa" w:w="2268"/>
          </w:tcPr>
          <w:p>
            <w:r>
              <w:rPr>
                <w:rFonts w:ascii="Times New Roman" w:hAnsi="Times New Roman"/>
                <w:b/>
                <w:sz w:val="20"/>
              </w:rPr>
              <w:t>Nicht erfüllt</w:t>
            </w:r>
          </w:p>
        </w:tc>
        <w:tc>
          <w:tcPr>
            <w:tcW w:type="dxa" w:w="2268"/>
          </w:tcPr>
          <w:p>
            <w:r>
              <w:rPr>
                <w:rFonts w:ascii="Times New Roman" w:hAnsi="Times New Roman"/>
                <w:sz w:val="20"/>
              </w:rPr>
              <w:t>Gutachten Maschinenbewerter lag am 01.08.2026 nicht vor</w:t>
            </w:r>
          </w:p>
        </w:tc>
      </w:tr>
      <w:tr>
        <w:tc>
          <w:tcPr>
            <w:tcW w:type="dxa" w:w="2268"/>
          </w:tcPr>
          <w:p>
            <w:r>
              <w:rPr>
                <w:rFonts w:ascii="Times New Roman" w:hAnsi="Times New Roman"/>
                <w:sz w:val="20"/>
              </w:rPr>
              <w:t>B-2</w:t>
            </w:r>
          </w:p>
        </w:tc>
        <w:tc>
          <w:tcPr>
            <w:tcW w:type="dxa" w:w="2268"/>
          </w:tcPr>
          <w:p>
            <w:r>
              <w:rPr>
                <w:rFonts w:ascii="Times New Roman" w:hAnsi="Times New Roman"/>
                <w:sz w:val="20"/>
              </w:rPr>
              <w:t>Anfechtungsansprüche in Planquote eingerechnet</w:t>
            </w:r>
          </w:p>
        </w:tc>
        <w:tc>
          <w:tcPr>
            <w:tcW w:type="dxa" w:w="2268"/>
          </w:tcPr>
          <w:p>
            <w:r>
              <w:rPr>
                <w:rFonts w:ascii="Times New Roman" w:hAnsi="Times New Roman"/>
                <w:b/>
                <w:sz w:val="20"/>
              </w:rPr>
              <w:t>Nicht erfüllt</w:t>
            </w:r>
          </w:p>
        </w:tc>
        <w:tc>
          <w:tcPr>
            <w:tcW w:type="dxa" w:w="2268"/>
          </w:tcPr>
          <w:p>
            <w:r>
              <w:rPr>
                <w:rFonts w:ascii="Times New Roman" w:hAnsi="Times New Roman"/>
                <w:sz w:val="20"/>
              </w:rPr>
              <w:t>Anfechtungsverfahren noch nicht abgeschlossen</w:t>
            </w:r>
          </w:p>
        </w:tc>
      </w:tr>
      <w:tr>
        <w:tc>
          <w:tcPr>
            <w:tcW w:type="dxa" w:w="2268"/>
          </w:tcPr>
          <w:p>
            <w:r>
              <w:rPr>
                <w:rFonts w:ascii="Times New Roman" w:hAnsi="Times New Roman"/>
                <w:sz w:val="20"/>
              </w:rPr>
              <w:t>B-3</w:t>
            </w:r>
          </w:p>
        </w:tc>
        <w:tc>
          <w:tcPr>
            <w:tcW w:type="dxa" w:w="2268"/>
          </w:tcPr>
          <w:p>
            <w:r>
              <w:rPr>
                <w:rFonts w:ascii="Times New Roman" w:hAnsi="Times New Roman"/>
                <w:sz w:val="20"/>
              </w:rPr>
              <w:t>§ 15b InsO-Ansprüche und D&amp;O in Planrechnung</w:t>
            </w:r>
          </w:p>
        </w:tc>
        <w:tc>
          <w:tcPr>
            <w:tcW w:type="dxa" w:w="2268"/>
          </w:tcPr>
          <w:p>
            <w:r>
              <w:rPr>
                <w:rFonts w:ascii="Times New Roman" w:hAnsi="Times New Roman"/>
                <w:b/>
                <w:sz w:val="20"/>
              </w:rPr>
              <w:t>Teilweise</w:t>
            </w:r>
          </w:p>
        </w:tc>
        <w:tc>
          <w:tcPr>
            <w:tcW w:type="dxa" w:w="2268"/>
          </w:tcPr>
          <w:p>
            <w:r>
              <w:rPr>
                <w:rFonts w:ascii="Times New Roman" w:hAnsi="Times New Roman"/>
                <w:sz w:val="20"/>
              </w:rPr>
              <w:t>D&amp;O-Angebot 115.000 EUR bekannt, aber nicht zugeordnet</w:t>
            </w:r>
          </w:p>
        </w:tc>
      </w:tr>
      <w:tr>
        <w:tc>
          <w:tcPr>
            <w:tcW w:type="dxa" w:w="2268"/>
          </w:tcPr>
          <w:p>
            <w:r>
              <w:rPr>
                <w:rFonts w:ascii="Times New Roman" w:hAnsi="Times New Roman"/>
                <w:sz w:val="20"/>
              </w:rPr>
              <w:t>B-4</w:t>
            </w:r>
          </w:p>
        </w:tc>
        <w:tc>
          <w:tcPr>
            <w:tcW w:type="dxa" w:w="2268"/>
          </w:tcPr>
          <w:p>
            <w:r>
              <w:rPr>
                <w:rFonts w:ascii="Times New Roman" w:hAnsi="Times New Roman"/>
                <w:sz w:val="20"/>
              </w:rPr>
              <w:t>Liquiditätswirkung der Sanierungsmaßnahmen</w:t>
            </w:r>
          </w:p>
        </w:tc>
        <w:tc>
          <w:tcPr>
            <w:tcW w:type="dxa" w:w="2268"/>
          </w:tcPr>
          <w:p>
            <w:r>
              <w:rPr>
                <w:rFonts w:ascii="Times New Roman" w:hAnsi="Times New Roman"/>
                <w:b/>
                <w:sz w:val="20"/>
              </w:rPr>
              <w:t>Nicht erfüllt</w:t>
            </w:r>
          </w:p>
        </w:tc>
        <w:tc>
          <w:tcPr>
            <w:tcW w:type="dxa" w:w="2268"/>
          </w:tcPr>
          <w:p>
            <w:r>
              <w:rPr>
                <w:rFonts w:ascii="Times New Roman" w:hAnsi="Times New Roman"/>
                <w:sz w:val="20"/>
              </w:rPr>
              <w:t>Kein Businessplan vorhanden</w:t>
            </w:r>
          </w:p>
        </w:tc>
      </w:tr>
      <w:tr>
        <w:tc>
          <w:tcPr>
            <w:tcW w:type="dxa" w:w="2268"/>
          </w:tcPr>
          <w:p>
            <w:r>
              <w:rPr>
                <w:rFonts w:ascii="Times New Roman" w:hAnsi="Times New Roman"/>
                <w:sz w:val="20"/>
              </w:rPr>
              <w:t>B-5</w:t>
            </w:r>
          </w:p>
        </w:tc>
        <w:tc>
          <w:tcPr>
            <w:tcW w:type="dxa" w:w="2268"/>
          </w:tcPr>
          <w:p>
            <w:r>
              <w:rPr>
                <w:rFonts w:ascii="Times New Roman" w:hAnsi="Times New Roman"/>
                <w:sz w:val="20"/>
              </w:rPr>
              <w:t>Maßnahmen, Timing und Verantwortliche benannt</w:t>
            </w:r>
          </w:p>
        </w:tc>
        <w:tc>
          <w:tcPr>
            <w:tcW w:type="dxa" w:w="2268"/>
          </w:tcPr>
          <w:p>
            <w:r>
              <w:rPr>
                <w:rFonts w:ascii="Times New Roman" w:hAnsi="Times New Roman"/>
                <w:b/>
                <w:sz w:val="20"/>
              </w:rPr>
              <w:t>Nicht erfüllt</w:t>
            </w:r>
          </w:p>
        </w:tc>
        <w:tc>
          <w:tcPr>
            <w:tcW w:type="dxa" w:w="2268"/>
          </w:tcPr>
          <w:p>
            <w:r>
              <w:rPr>
                <w:rFonts w:ascii="Times New Roman" w:hAnsi="Times New Roman"/>
                <w:sz w:val="20"/>
              </w:rPr>
              <w:t>Neues Management nicht gefunden</w:t>
            </w:r>
          </w:p>
        </w:tc>
      </w:tr>
      <w:tr>
        <w:tc>
          <w:tcPr>
            <w:tcW w:type="dxa" w:w="2268"/>
          </w:tcPr>
          <w:p>
            <w:r>
              <w:rPr>
                <w:rFonts w:ascii="Times New Roman" w:hAnsi="Times New Roman"/>
                <w:sz w:val="20"/>
              </w:rPr>
              <w:t>B-6</w:t>
            </w:r>
          </w:p>
        </w:tc>
        <w:tc>
          <w:tcPr>
            <w:tcW w:type="dxa" w:w="2268"/>
          </w:tcPr>
          <w:p>
            <w:r>
              <w:rPr>
                <w:rFonts w:ascii="Times New Roman" w:hAnsi="Times New Roman"/>
                <w:sz w:val="20"/>
              </w:rPr>
              <w:t>Kein unbestimmter Inhalt im gestaltenden Teil</w:t>
            </w:r>
          </w:p>
        </w:tc>
        <w:tc>
          <w:tcPr>
            <w:tcW w:type="dxa" w:w="2268"/>
          </w:tcPr>
          <w:p>
            <w:r>
              <w:rPr>
                <w:rFonts w:ascii="Times New Roman" w:hAnsi="Times New Roman"/>
                <w:b/>
                <w:sz w:val="20"/>
              </w:rPr>
              <w:t>Nicht erfüllt</w:t>
            </w:r>
          </w:p>
        </w:tc>
        <w:tc>
          <w:tcPr>
            <w:tcW w:type="dxa" w:w="2268"/>
          </w:tcPr>
          <w:p>
            <w:r>
              <w:rPr>
                <w:rFonts w:ascii="Times New Roman" w:hAnsi="Times New Roman"/>
                <w:sz w:val="20"/>
              </w:rPr>
              <w:t>Hypothetische Raten- und Nachbesserungsklauseln</w:t>
            </w:r>
          </w:p>
        </w:tc>
      </w:tr>
      <w:tr>
        <w:tc>
          <w:tcPr>
            <w:tcW w:type="dxa" w:w="2268"/>
          </w:tcPr>
          <w:p>
            <w:r>
              <w:rPr>
                <w:rFonts w:ascii="Times New Roman" w:hAnsi="Times New Roman"/>
                <w:sz w:val="20"/>
              </w:rPr>
              <w:t>B-7</w:t>
            </w:r>
          </w:p>
        </w:tc>
        <w:tc>
          <w:tcPr>
            <w:tcW w:type="dxa" w:w="2268"/>
          </w:tcPr>
          <w:p>
            <w:r>
              <w:rPr>
                <w:rFonts w:ascii="Times New Roman" w:hAnsi="Times New Roman"/>
                <w:sz w:val="20"/>
              </w:rPr>
              <w:t>Planbestätigungsfähigkeit (§ 231 InsO)</w:t>
            </w:r>
          </w:p>
        </w:tc>
        <w:tc>
          <w:tcPr>
            <w:tcW w:type="dxa" w:w="2268"/>
          </w:tcPr>
          <w:p>
            <w:r>
              <w:rPr>
                <w:rFonts w:ascii="Times New Roman" w:hAnsi="Times New Roman"/>
                <w:b/>
                <w:sz w:val="20"/>
              </w:rPr>
              <w:t>Nicht erfüllt</w:t>
            </w:r>
          </w:p>
        </w:tc>
        <w:tc>
          <w:tcPr>
            <w:tcW w:type="dxa" w:w="2268"/>
          </w:tcPr>
          <w:p>
            <w:r>
              <w:rPr>
                <w:rFonts w:ascii="Times New Roman" w:hAnsi="Times New Roman"/>
                <w:sz w:val="20"/>
              </w:rPr>
              <w:t>Erhebliche Mängel, Rückweisung wahrscheinlich</w:t>
            </w:r>
          </w:p>
        </w:tc>
      </w:tr>
    </w:tbl>
    <w:p>
      <w:pPr>
        <w:jc w:val="left"/>
      </w:pPr>
      <w:r>
        <w:rPr>
          <w:b/>
        </w:rPr>
        <w:t>Ergebnis Kategorie B:</w:t>
      </w:r>
      <w:r>
        <w:t xml:space="preserve"> 0 von 7 Kriterien vollständig erfüllt.</w:t>
      </w:r>
    </w:p>
    <w:p/>
    <w:p>
      <w:pPr>
        <w:pStyle w:val="Heading2"/>
      </w:pPr>
      <w:r>
        <w:rPr>
          <w:rFonts w:ascii="Times New Roman" w:hAnsi="Times New Roman"/>
        </w:rPr>
        <w:t>Kategorie C – Risikoabwägung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Risiko</w:t>
            </w:r>
          </w:p>
        </w:tc>
        <w:tc>
          <w:tcPr>
            <w:tcW w:type="dxa" w:w="3024"/>
          </w:tcPr>
          <w:p>
            <w:r>
              <w:rPr>
                <w:rFonts w:ascii="Times New Roman" w:hAnsi="Times New Roman"/>
                <w:b/>
                <w:sz w:val="20"/>
              </w:rPr>
              <w:t>Eintrittswahrscheinlichkeit</w:t>
            </w:r>
          </w:p>
        </w:tc>
        <w:tc>
          <w:tcPr>
            <w:tcW w:type="dxa" w:w="3024"/>
          </w:tcPr>
          <w:p>
            <w:r>
              <w:rPr>
                <w:rFonts w:ascii="Times New Roman" w:hAnsi="Times New Roman"/>
                <w:b/>
                <w:sz w:val="20"/>
              </w:rPr>
              <w:t>Auswirkung</w:t>
            </w:r>
          </w:p>
        </w:tc>
      </w:tr>
      <w:tr>
        <w:tc>
          <w:tcPr>
            <w:tcW w:type="dxa" w:w="3024"/>
          </w:tcPr>
          <w:p>
            <w:r>
              <w:rPr>
                <w:rFonts w:ascii="Times New Roman" w:hAnsi="Times New Roman"/>
                <w:sz w:val="20"/>
              </w:rPr>
              <w:t>Havelbank stimmt Plan nicht zu (keine Besserstellung vs. Zerschlagung)</w:t>
            </w:r>
          </w:p>
        </w:tc>
        <w:tc>
          <w:tcPr>
            <w:tcW w:type="dxa" w:w="3024"/>
          </w:tcPr>
          <w:p>
            <w:r>
              <w:rPr>
                <w:rFonts w:ascii="Times New Roman" w:hAnsi="Times New Roman"/>
                <w:sz w:val="20"/>
              </w:rPr>
              <w:t>Hoch</w:t>
            </w:r>
          </w:p>
        </w:tc>
        <w:tc>
          <w:tcPr>
            <w:tcW w:type="dxa" w:w="3024"/>
          </w:tcPr>
          <w:p>
            <w:r>
              <w:rPr>
                <w:rFonts w:ascii="Times New Roman" w:hAnsi="Times New Roman"/>
                <w:sz w:val="20"/>
              </w:rPr>
              <w:t>Plan scheitert in Gruppe 1</w:t>
            </w:r>
          </w:p>
        </w:tc>
      </w:tr>
      <w:tr>
        <w:tc>
          <w:tcPr>
            <w:tcW w:type="dxa" w:w="3024"/>
          </w:tcPr>
          <w:p>
            <w:r>
              <w:rPr>
                <w:rFonts w:ascii="Times New Roman" w:hAnsi="Times New Roman"/>
                <w:sz w:val="20"/>
              </w:rPr>
              <w:t>Kein Investor findet sich bis Berichtstermin</w:t>
            </w:r>
          </w:p>
        </w:tc>
        <w:tc>
          <w:tcPr>
            <w:tcW w:type="dxa" w:w="3024"/>
          </w:tcPr>
          <w:p>
            <w:r>
              <w:rPr>
                <w:rFonts w:ascii="Times New Roman" w:hAnsi="Times New Roman"/>
                <w:sz w:val="20"/>
              </w:rPr>
              <w:t>Sehr hoch (tatsächlich eingetreten: 01.08.2026)</w:t>
            </w:r>
          </w:p>
        </w:tc>
        <w:tc>
          <w:tcPr>
            <w:tcW w:type="dxa" w:w="3024"/>
          </w:tcPr>
          <w:p>
            <w:r>
              <w:rPr>
                <w:rFonts w:ascii="Times New Roman" w:hAnsi="Times New Roman"/>
                <w:sz w:val="20"/>
              </w:rPr>
              <w:t>Plan gegenstandslos</w:t>
            </w:r>
          </w:p>
        </w:tc>
      </w:tr>
      <w:tr>
        <w:tc>
          <w:tcPr>
            <w:tcW w:type="dxa" w:w="3024"/>
          </w:tcPr>
          <w:p>
            <w:r>
              <w:rPr>
                <w:rFonts w:ascii="Times New Roman" w:hAnsi="Times New Roman"/>
                <w:sz w:val="20"/>
              </w:rPr>
              <w:t>Schlüsselpersonal hat bereits neue Stellen</w:t>
            </w:r>
          </w:p>
        </w:tc>
        <w:tc>
          <w:tcPr>
            <w:tcW w:type="dxa" w:w="3024"/>
          </w:tcPr>
          <w:p>
            <w:r>
              <w:rPr>
                <w:rFonts w:ascii="Times New Roman" w:hAnsi="Times New Roman"/>
                <w:sz w:val="20"/>
              </w:rPr>
              <w:t>Hoch (Lea Kruse, Martin Ortner haben Arbeitsangebote)</w:t>
            </w:r>
          </w:p>
        </w:tc>
        <w:tc>
          <w:tcPr>
            <w:tcW w:type="dxa" w:w="3024"/>
          </w:tcPr>
          <w:p>
            <w:r>
              <w:rPr>
                <w:rFonts w:ascii="Times New Roman" w:hAnsi="Times New Roman"/>
                <w:sz w:val="20"/>
              </w:rPr>
              <w:t>Betrieb nicht weiterführbar</w:t>
            </w:r>
          </w:p>
        </w:tc>
      </w:tr>
      <w:tr>
        <w:tc>
          <w:tcPr>
            <w:tcW w:type="dxa" w:w="3024"/>
          </w:tcPr>
          <w:p>
            <w:r>
              <w:rPr>
                <w:rFonts w:ascii="Times New Roman" w:hAnsi="Times New Roman"/>
                <w:sz w:val="20"/>
              </w:rPr>
              <w:t>Zeitverzug durch Planverfahren erhöht Masseverbindlichkeiten</w:t>
            </w:r>
          </w:p>
        </w:tc>
        <w:tc>
          <w:tcPr>
            <w:tcW w:type="dxa" w:w="3024"/>
          </w:tcPr>
          <w:p>
            <w:r>
              <w:rPr>
                <w:rFonts w:ascii="Times New Roman" w:hAnsi="Times New Roman"/>
                <w:sz w:val="20"/>
              </w:rPr>
              <w:t>Mittel</w:t>
            </w:r>
          </w:p>
        </w:tc>
        <w:tc>
          <w:tcPr>
            <w:tcW w:type="dxa" w:w="3024"/>
          </w:tcPr>
          <w:p>
            <w:r>
              <w:rPr>
                <w:rFonts w:ascii="Times New Roman" w:hAnsi="Times New Roman"/>
                <w:sz w:val="20"/>
              </w:rPr>
              <w:t>Liquiditätsrisiko für ungesicherte Gläubiger</w:t>
            </w:r>
          </w:p>
        </w:tc>
      </w:tr>
      <w:tr>
        <w:tc>
          <w:tcPr>
            <w:tcW w:type="dxa" w:w="3024"/>
          </w:tcPr>
          <w:p>
            <w:r>
              <w:rPr>
                <w:rFonts w:ascii="Times New Roman" w:hAnsi="Times New Roman"/>
                <w:sz w:val="20"/>
              </w:rPr>
              <w:t>§ 208 InsO (Masseunzulänglichkeit) bei Verzögerung</w:t>
            </w:r>
          </w:p>
        </w:tc>
        <w:tc>
          <w:tcPr>
            <w:tcW w:type="dxa" w:w="3024"/>
          </w:tcPr>
          <w:p>
            <w:r>
              <w:rPr>
                <w:rFonts w:ascii="Times New Roman" w:hAnsi="Times New Roman"/>
                <w:sz w:val="20"/>
              </w:rPr>
              <w:t>Mittel</w:t>
            </w:r>
          </w:p>
        </w:tc>
        <w:tc>
          <w:tcPr>
            <w:tcW w:type="dxa" w:w="3024"/>
          </w:tcPr>
          <w:p>
            <w:r>
              <w:rPr>
                <w:rFonts w:ascii="Times New Roman" w:hAnsi="Times New Roman"/>
                <w:sz w:val="20"/>
              </w:rPr>
              <w:t>IV-Haftung nach § 61 InsO</w:t>
            </w:r>
          </w:p>
        </w:tc>
      </w:tr>
    </w:tbl>
    <w:p/>
    <w:p>
      <w:pPr>
        <w:pStyle w:val="Heading2"/>
      </w:pPr>
      <w:r>
        <w:rPr>
          <w:rFonts w:ascii="Times New Roman" w:hAnsi="Times New Roman"/>
        </w:rPr>
        <w:t>Entscheidung und Begründung</w:t>
      </w:r>
    </w:p>
    <w:p>
      <w:pPr>
        <w:jc w:val="left"/>
      </w:pPr>
      <w:r>
        <w:rPr>
          <w:b/>
        </w:rPr>
        <w:t>Entscheidung der Insolvenzverwalterin (01.08.2026): Kein Insolvenzplan. Regelabwicklung.</w:t>
      </w:r>
    </w:p>
    <w:p>
      <w:pPr>
        <w:jc w:val="left"/>
      </w:pPr>
      <w:r>
        <w:t>Begründung:</w:t>
      </w:r>
    </w:p>
    <w:p>
      <w:pPr>
        <w:pStyle w:val="ListNumber"/>
      </w:pPr>
      <w:r>
        <w:rPr>
          <w:b/>
        </w:rPr>
        <w:t>Kein Investor</w:t>
      </w:r>
      <w:r>
        <w:t xml:space="preserve"> hat bis 01.08.2026 ein verbindliches Angebot abgegeben. Ohne operativen Nachfolger ist ein Going-Concern-Plan nicht möglich.</w:t>
      </w:r>
    </w:p>
    <w:p>
      <w:pPr>
        <w:pStyle w:val="ListNumber"/>
      </w:pPr>
      <w:r>
        <w:rPr>
          <w:b/>
        </w:rPr>
        <w:t>Vergleichsrechnung nicht belastbar:</w:t>
      </w:r>
      <w:r>
        <w:t xml:space="preserve"> Die Sicherheitenwerte der Havelbank sind nicht abschließend geklärt. Der Plan müsste eine Besserstellung aller Gläubiger gegenüber der Regelabwicklung nachweisen – das ist derzeit nicht möglich.</w:t>
      </w:r>
    </w:p>
    <w:p>
      <w:pPr>
        <w:pStyle w:val="ListNumber"/>
      </w:pPr>
      <w:r>
        <w:rPr>
          <w:b/>
        </w:rPr>
        <w:t>Sonderaktiva nicht eingerechnet:</w:t>
      </w:r>
      <w:r>
        <w:t xml:space="preserve"> Anfechtungsansprüche und § 15b InsO-Ansprüche sind noch nicht verbucht; der D&amp;O-Vergleich ist noch nicht unterzeichnet. Ein Plan ohne diese Positionen würde eine falsche Vergleichsgrundlage liefern.</w:t>
      </w:r>
    </w:p>
    <w:p>
      <w:pPr>
        <w:pStyle w:val="ListNumber"/>
      </w:pPr>
      <w:r>
        <w:rPr>
          <w:b/>
        </w:rPr>
        <w:t>Sanierungskonzept fehlt:</w:t>
      </w:r>
      <w:r>
        <w:t xml:space="preserve"> Es gibt keine Maßnahmen, kein Timing, keine Verantwortlichen. Ein gestaltender Planteil ohne Sanierungskonzept ist gemäß §§ 220–222 InsO unvollständig und würde nach § 231 InsO zurückgewiesen.</w:t>
      </w:r>
    </w:p>
    <w:p>
      <w:pPr>
        <w:pStyle w:val="ListNumber"/>
      </w:pPr>
      <w:r>
        <w:rPr>
          <w:b/>
        </w:rPr>
        <w:t>Schlüsselpersonal nicht mehr verfügbar:</w:t>
      </w:r>
      <w:r>
        <w:t xml:space="preserve"> Produktionsleitung und CNC-Bediener haben Folgeanstellungen. Der Betrieb kann nicht wiederaufgenommen werden.</w:t>
      </w:r>
    </w:p>
    <w:p>
      <w:pPr>
        <w:pStyle w:val="ListNumber"/>
      </w:pPr>
      <w:r>
        <w:rPr>
          <w:b/>
        </w:rPr>
        <w:t>Zeitaufwand vs. Quotengewinn:</w:t>
      </w:r>
      <w:r>
        <w:t xml:space="preserve"> Ein Planverfahren würde den Abschluss um mindestens 6 Monate verzögern. Die mögliche Quotenverbesserung von 18 % auf 25 % (Delta ca. 60.000 EUR) rechtfertigt das Risiko nicht.</w:t>
      </w:r>
    </w:p>
    <w:p/>
    <w:p>
      <w:pPr>
        <w:pStyle w:val="Heading2"/>
      </w:pPr>
      <w:r>
        <w:rPr>
          <w:rFonts w:ascii="Times New Roman" w:hAnsi="Times New Roman"/>
        </w:rPr>
        <w:t>Konsequenz</w:t>
      </w:r>
    </w:p>
    <w:p>
      <w:pPr>
        <w:pStyle w:val="ListBullet"/>
      </w:pPr>
      <w:r>
        <w:t>Maschinenverwertung via EML GmbH wird vollzogen.</w:t>
      </w:r>
    </w:p>
    <w:p>
      <w:pPr>
        <w:pStyle w:val="ListBullet"/>
      </w:pPr>
      <w:r>
        <w:t>D&amp;O-Vergleich wird unterzeichnet.</w:t>
      </w:r>
    </w:p>
    <w:p>
      <w:pPr>
        <w:pStyle w:val="ListBullet"/>
      </w:pPr>
      <w:r>
        <w:t>Anfechtungsschreiben werden versandt.</w:t>
      </w:r>
    </w:p>
    <w:p>
      <w:pPr>
        <w:pStyle w:val="ListBullet"/>
      </w:pPr>
      <w:r>
        <w:t>Schlussbericht und Schlussrechnung werden für Berichtstermin 14.09.2026 vorbereitet.</w:t>
      </w:r>
    </w:p>
    <w:p/>
    <w:p>
      <w:pPr>
        <w:jc w:val="left"/>
      </w:pPr>
      <w:r>
        <w:rPr>
          <w:i/>
        </w:rPr>
        <w:t>Dr. Nora Westphal, Insolvenzverwalterin, Magdeburg, 01.08.2026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