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Bericht des Insolvenzverwalters gemäß § 156 InsO</w:t>
      </w:r>
    </w:p>
    <w:p>
      <w:pPr>
        <w:jc w:val="left"/>
      </w:pPr>
      <w:r>
        <w:rPr>
          <w:b/>
        </w:rPr>
        <w:t>Brinkmann · Hartmann &amp; Kollegen Insolvenzverwalter</w:t>
      </w:r>
    </w:p>
    <w:p>
      <w:pPr>
        <w:jc w:val="left"/>
      </w:pPr>
      <w:r>
        <w:t>Dr. Jens-Peter Hartmann · Hopfenstraße 47 · 24103 Kiel</w:t>
      </w:r>
    </w:p>
    <w:p>
      <w:pPr>
        <w:jc w:val="left"/>
      </w:pPr>
      <w:r>
        <w:t>An das Amtsgericht Kiel</w:t>
      </w:r>
    </w:p>
    <w:p>
      <w:pPr>
        <w:jc w:val="left"/>
      </w:pPr>
      <w:r>
        <w:t>Insolvenzabteilung</w:t>
      </w:r>
    </w:p>
    <w:p>
      <w:pPr>
        <w:jc w:val="left"/>
      </w:pPr>
      <w:r>
        <w:t>Deliusstraße 22</w:t>
      </w:r>
    </w:p>
    <w:p>
      <w:pPr>
        <w:jc w:val="left"/>
      </w:pPr>
      <w:r>
        <w:t>24114 Kiel</w:t>
      </w:r>
    </w:p>
    <w:p>
      <w:pPr>
        <w:jc w:val="left"/>
      </w:pPr>
      <w:r>
        <w:t>Kiel, den 29. November 2013</w:t>
      </w:r>
    </w:p>
    <w:p/>
    <w:p>
      <w:pPr>
        <w:jc w:val="left"/>
      </w:pPr>
      <w:r>
        <w:rPr>
          <w:b/>
        </w:rPr>
        <w:t>In dem Insolvenzverfahren</w:t>
      </w:r>
    </w:p>
    <w:p>
      <w:pPr>
        <w:jc w:val="left"/>
      </w:pPr>
      <w:r>
        <w:t>Nordlicht Handels GmbH (in Insolvenz), Az. AG Kiel 10 IN 127/13</w:t>
      </w:r>
    </w:p>
    <w:p>
      <w:pPr>
        <w:jc w:val="left"/>
      </w:pPr>
      <w:r>
        <w:t>erstatte ich folgenden</w:t>
      </w:r>
    </w:p>
    <w:p>
      <w:pPr>
        <w:pStyle w:val="Heading2"/>
      </w:pPr>
      <w:r>
        <w:rPr>
          <w:rFonts w:ascii="Times New Roman" w:hAnsi="Times New Roman"/>
        </w:rPr>
        <w:t>Ersten turnusmäßigen Bericht</w:t>
      </w:r>
    </w:p>
    <w:p>
      <w:pPr>
        <w:jc w:val="left"/>
      </w:pPr>
      <w:r>
        <w:t>für den Berichtszeitraum 01.06.2013 (Eröffnung) bis 30.11.2013.</w:t>
      </w:r>
    </w:p>
    <w:p>
      <w:pPr>
        <w:pStyle w:val="Heading3"/>
      </w:pPr>
      <w:r>
        <w:rPr>
          <w:rFonts w:ascii="Times New Roman" w:hAnsi="Times New Roman"/>
        </w:rPr>
        <w:t>1. Verfahrenseinleitung</w:t>
      </w:r>
    </w:p>
    <w:p>
      <w:pPr>
        <w:jc w:val="left"/>
      </w:pPr>
      <w:r>
        <w:t>Das Verfahren wurde am 01.06.2013 eröffnet. Die Verwalter-Bestellung wurde mit Annahme der Übertragung am selben Tag wirksam.</w:t>
      </w:r>
    </w:p>
    <w:p>
      <w:pPr>
        <w:pStyle w:val="Heading3"/>
      </w:pPr>
      <w:r>
        <w:rPr>
          <w:rFonts w:ascii="Times New Roman" w:hAnsi="Times New Roman"/>
        </w:rPr>
        <w:t>2. Übernahme und Sicherung</w:t>
      </w:r>
    </w:p>
    <w:p>
      <w:pPr>
        <w:jc w:val="left"/>
      </w:pPr>
      <w:r>
        <w:t>Die Übernahme der Geschäftsräume erfolgte am 03.06.2013 in den fünf Betrieben:</w:t>
      </w:r>
    </w:p>
    <w:p>
      <w:pPr>
        <w:pStyle w:val="ListBullet"/>
      </w:pPr>
      <w:r>
        <w:t>Modehaus Holstenstraße 87 (Hauptgeschäft)</w:t>
      </w:r>
    </w:p>
    <w:p>
      <w:pPr>
        <w:pStyle w:val="ListBullet"/>
      </w:pPr>
      <w:r>
        <w:t>Outlet Rendsburger Landstraße 142 (Außenstelle)</w:t>
      </w:r>
    </w:p>
    <w:p>
      <w:pPr>
        <w:pStyle w:val="ListBullet"/>
      </w:pPr>
      <w:r>
        <w:t>Hafen-Geschäft Holtenauer Straße 23 (Boutique)</w:t>
      </w:r>
    </w:p>
    <w:p>
      <w:pPr>
        <w:pStyle w:val="ListBullet"/>
      </w:pPr>
      <w:r>
        <w:t>Online-Shop www.nordlicht-handels.de (im Server-Hosting Strato AG)</w:t>
      </w:r>
    </w:p>
    <w:p>
      <w:pPr>
        <w:pStyle w:val="ListBullet"/>
      </w:pPr>
      <w:r>
        <w:t>Zentrallager Wellseedamm 5–7 (ca. 1.200 m² Warenlager)</w:t>
      </w:r>
    </w:p>
    <w:p>
      <w:pPr>
        <w:jc w:val="left"/>
      </w:pPr>
      <w:r>
        <w:t>Die Geschäftsführer Stefan Berger und Katrin Berger haben kooperiert und Schlüssel, Buchhaltungs-Unterlagen, Bankvollmachten und Mitarbeiter-Listen ausgehändigt. Mitarbeiter (zum Eröffnungszeitpunkt 18 fest angestellt, davon 14 Vollzeit, 4 Teilzeit) wurden vom Insolvenzverwalter mit Wirkung ab 01.06.2013 über die Eröffnung informiert; Lohn-Zahlungs-Sicherung durch Insolvenzgeld-Antragstellung erfolgte.</w:t>
      </w:r>
    </w:p>
    <w:p>
      <w:pPr>
        <w:pStyle w:val="Heading3"/>
      </w:pPr>
      <w:r>
        <w:rPr>
          <w:rFonts w:ascii="Times New Roman" w:hAnsi="Times New Roman"/>
        </w:rPr>
        <w:t>3. Betriebsfortführung</w:t>
      </w:r>
    </w:p>
    <w:p>
      <w:pPr>
        <w:jc w:val="left"/>
      </w:pPr>
      <w:r>
        <w:t>In Abstimmung mit der ersten Gläubigerversammlung im Berichtstermin am 15.08.2013 wurde beschlossen:</w:t>
      </w:r>
    </w:p>
    <w:p>
      <w:pPr>
        <w:pStyle w:val="ListBullet"/>
      </w:pPr>
      <w:r>
        <w:t>Fortführung des Modehauses Holstenstraße und des Outlets Rendsburger Landstraße bis 31.08.2013 mit Räumungsverkäufen (Rabatt 50–70 % Sommerware, anschließend 30–50 % Winterware bis Saisonende)</w:t>
      </w:r>
    </w:p>
    <w:p>
      <w:pPr>
        <w:pStyle w:val="ListBullet"/>
      </w:pPr>
      <w:r>
        <w:t>Stilllegung des Hafen-Geschäfts zum 30.06.2013 (Ladenmiete unwirtschaftlich)</w:t>
      </w:r>
    </w:p>
    <w:p>
      <w:pPr>
        <w:pStyle w:val="ListBullet"/>
      </w:pPr>
      <w:r>
        <w:t>Stilllegung des Online-Shops zum 31.07.2013 (technische Probleme, keine wirtschaftliche Perspektive)</w:t>
      </w:r>
    </w:p>
    <w:p>
      <w:pPr>
        <w:jc w:val="left"/>
      </w:pPr>
      <w:r>
        <w:t>Die Räumungsverkäufe erbrachten Erlöse von insgesamt EUR 158.420 (brutto), davon nach Abzug Massekosten und Lohnzahlungen netto rund EUR 38.700 zur Insolvenzmasse.</w:t>
      </w:r>
    </w:p>
    <w:p>
      <w:pPr>
        <w:jc w:val="left"/>
      </w:pPr>
      <w:r>
        <w:t>Zum 31.08.2013 wurde der Geschäftsbetrieb vollständig eingestellt. Die Mitarbeiter wurden gekündigt; Insolvenzgeld für die letzten drei Monate vor Eröffnung wurde von der Bundesagentur für Arbeit (Schleswig-Holstein) ausgezahlt (gesamt rund EUR 84.200, später per cessio legis als Forderung zur Tabelle angemeldet).</w:t>
      </w:r>
    </w:p>
    <w:p>
      <w:pPr>
        <w:pStyle w:val="Heading3"/>
      </w:pPr>
      <w:r>
        <w:rPr>
          <w:rFonts w:ascii="Times New Roman" w:hAnsi="Times New Roman"/>
        </w:rPr>
        <w:t>4. Vermögensverwertung — Stand 30.11.2013</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Erlös (EUR)</w:t>
            </w:r>
          </w:p>
        </w:tc>
        <w:tc>
          <w:tcPr>
            <w:tcW w:type="dxa" w:w="3024"/>
          </w:tcPr>
          <w:p>
            <w:r>
              <w:rPr>
                <w:rFonts w:ascii="Times New Roman" w:hAnsi="Times New Roman"/>
                <w:b/>
                <w:sz w:val="20"/>
              </w:rPr>
              <w:t>Anmerkung</w:t>
            </w:r>
          </w:p>
        </w:tc>
      </w:tr>
      <w:tr>
        <w:tc>
          <w:tcPr>
            <w:tcW w:type="dxa" w:w="3024"/>
          </w:tcPr>
          <w:p>
            <w:r>
              <w:rPr>
                <w:rFonts w:ascii="Times New Roman" w:hAnsi="Times New Roman"/>
                <w:sz w:val="20"/>
              </w:rPr>
              <w:t>Räumungsverkäufe Modehaus + Outlet</w:t>
            </w:r>
          </w:p>
        </w:tc>
        <w:tc>
          <w:tcPr>
            <w:tcW w:type="dxa" w:w="3024"/>
          </w:tcPr>
          <w:p>
            <w:r>
              <w:rPr>
                <w:rFonts w:ascii="Times New Roman" w:hAnsi="Times New Roman"/>
                <w:sz w:val="20"/>
              </w:rPr>
              <w:t>158.420 brutto</w:t>
            </w:r>
          </w:p>
        </w:tc>
        <w:tc>
          <w:tcPr>
            <w:tcW w:type="dxa" w:w="3024"/>
          </w:tcPr>
          <w:p>
            <w:r>
              <w:rPr>
                <w:rFonts w:ascii="Times New Roman" w:hAnsi="Times New Roman"/>
                <w:sz w:val="20"/>
              </w:rPr>
              <w:t>bis 31.08.2013</w:t>
            </w:r>
          </w:p>
        </w:tc>
      </w:tr>
      <w:tr>
        <w:tc>
          <w:tcPr>
            <w:tcW w:type="dxa" w:w="3024"/>
          </w:tcPr>
          <w:p>
            <w:r>
              <w:rPr>
                <w:rFonts w:ascii="Times New Roman" w:hAnsi="Times New Roman"/>
                <w:sz w:val="20"/>
              </w:rPr>
              <w:t>Verkauf Warenrest an Restposten-Händler "Skandinavische Mode AG"</w:t>
            </w:r>
          </w:p>
        </w:tc>
        <w:tc>
          <w:tcPr>
            <w:tcW w:type="dxa" w:w="3024"/>
          </w:tcPr>
          <w:p>
            <w:r>
              <w:rPr>
                <w:rFonts w:ascii="Times New Roman" w:hAnsi="Times New Roman"/>
                <w:sz w:val="20"/>
              </w:rPr>
              <w:t>18.420</w:t>
            </w:r>
          </w:p>
        </w:tc>
        <w:tc>
          <w:tcPr>
            <w:tcW w:type="dxa" w:w="3024"/>
          </w:tcPr>
          <w:p>
            <w:r>
              <w:rPr>
                <w:rFonts w:ascii="Times New Roman" w:hAnsi="Times New Roman"/>
                <w:sz w:val="20"/>
              </w:rPr>
              <w:t>Pauschalpreis Restbestand 30.08.2013</w:t>
            </w:r>
          </w:p>
        </w:tc>
      </w:tr>
      <w:tr>
        <w:tc>
          <w:tcPr>
            <w:tcW w:type="dxa" w:w="3024"/>
          </w:tcPr>
          <w:p>
            <w:r>
              <w:rPr>
                <w:rFonts w:ascii="Times New Roman" w:hAnsi="Times New Roman"/>
                <w:sz w:val="20"/>
              </w:rPr>
              <w:t>Verkauf Online-Shop-Domain + Kundenstamm</w:t>
            </w:r>
          </w:p>
        </w:tc>
        <w:tc>
          <w:tcPr>
            <w:tcW w:type="dxa" w:w="3024"/>
          </w:tcPr>
          <w:p>
            <w:r>
              <w:rPr>
                <w:rFonts w:ascii="Times New Roman" w:hAnsi="Times New Roman"/>
                <w:sz w:val="20"/>
              </w:rPr>
              <w:t>6.500</w:t>
            </w:r>
          </w:p>
        </w:tc>
        <w:tc>
          <w:tcPr>
            <w:tcW w:type="dxa" w:w="3024"/>
          </w:tcPr>
          <w:p>
            <w:r>
              <w:rPr>
                <w:rFonts w:ascii="Times New Roman" w:hAnsi="Times New Roman"/>
                <w:sz w:val="20"/>
              </w:rPr>
              <w:t>an "Norddeutsche Mode-Welt UG"</w:t>
            </w:r>
          </w:p>
        </w:tc>
      </w:tr>
      <w:tr>
        <w:tc>
          <w:tcPr>
            <w:tcW w:type="dxa" w:w="3024"/>
          </w:tcPr>
          <w:p>
            <w:r>
              <w:rPr>
                <w:rFonts w:ascii="Times New Roman" w:hAnsi="Times New Roman"/>
                <w:sz w:val="20"/>
              </w:rPr>
              <w:t>Verkauf Ladeneinrichtung Hafen-Geschäft</w:t>
            </w:r>
          </w:p>
        </w:tc>
        <w:tc>
          <w:tcPr>
            <w:tcW w:type="dxa" w:w="3024"/>
          </w:tcPr>
          <w:p>
            <w:r>
              <w:rPr>
                <w:rFonts w:ascii="Times New Roman" w:hAnsi="Times New Roman"/>
                <w:sz w:val="20"/>
              </w:rPr>
              <w:t>4.200</w:t>
            </w:r>
          </w:p>
        </w:tc>
        <w:tc>
          <w:tcPr>
            <w:tcW w:type="dxa" w:w="3024"/>
          </w:tcPr>
          <w:p>
            <w:r>
              <w:rPr>
                <w:rFonts w:ascii="Times New Roman" w:hAnsi="Times New Roman"/>
                <w:sz w:val="20"/>
              </w:rPr>
              <w:t>Pauschal an Gastronom Nachfolger</w:t>
            </w:r>
          </w:p>
        </w:tc>
      </w:tr>
      <w:tr>
        <w:tc>
          <w:tcPr>
            <w:tcW w:type="dxa" w:w="3024"/>
          </w:tcPr>
          <w:p>
            <w:r>
              <w:rPr>
                <w:rFonts w:ascii="Times New Roman" w:hAnsi="Times New Roman"/>
                <w:sz w:val="20"/>
              </w:rPr>
              <w:t>Ladeneinrichtung Modehaus / Outlet</w:t>
            </w:r>
          </w:p>
        </w:tc>
        <w:tc>
          <w:tcPr>
            <w:tcW w:type="dxa" w:w="3024"/>
          </w:tcPr>
          <w:p>
            <w:r>
              <w:rPr>
                <w:rFonts w:ascii="Times New Roman" w:hAnsi="Times New Roman"/>
                <w:sz w:val="20"/>
              </w:rPr>
              <w:t>noch nicht verwertet</w:t>
            </w:r>
          </w:p>
        </w:tc>
        <w:tc>
          <w:tcPr>
            <w:tcW w:type="dxa" w:w="3024"/>
          </w:tcPr>
          <w:p>
            <w:r>
              <w:rPr>
                <w:rFonts w:ascii="Times New Roman" w:hAnsi="Times New Roman"/>
                <w:sz w:val="20"/>
              </w:rPr>
              <w:t>Verwertung Q4 2013 / Q1 2014</w:t>
            </w:r>
          </w:p>
        </w:tc>
      </w:tr>
      <w:tr>
        <w:tc>
          <w:tcPr>
            <w:tcW w:type="dxa" w:w="3024"/>
          </w:tcPr>
          <w:p>
            <w:r>
              <w:rPr>
                <w:rFonts w:ascii="Times New Roman" w:hAnsi="Times New Roman"/>
                <w:sz w:val="20"/>
              </w:rPr>
              <w:t>Forderungen aus L+L (Reklamationen, Rückläufer, Versand-Nachlieferungen)</w:t>
            </w:r>
          </w:p>
        </w:tc>
        <w:tc>
          <w:tcPr>
            <w:tcW w:type="dxa" w:w="3024"/>
          </w:tcPr>
          <w:p>
            <w:r>
              <w:rPr>
                <w:rFonts w:ascii="Times New Roman" w:hAnsi="Times New Roman"/>
                <w:sz w:val="20"/>
              </w:rPr>
              <w:t>4.840 bisher beigetrieben</w:t>
            </w:r>
          </w:p>
        </w:tc>
        <w:tc>
          <w:tcPr>
            <w:tcW w:type="dxa" w:w="3024"/>
          </w:tcPr>
          <w:p>
            <w:r>
              <w:rPr>
                <w:rFonts w:ascii="Times New Roman" w:hAnsi="Times New Roman"/>
                <w:sz w:val="20"/>
              </w:rPr>
              <w:t>Beitreibung läuft</w:t>
            </w:r>
          </w:p>
        </w:tc>
      </w:tr>
      <w:tr>
        <w:tc>
          <w:tcPr>
            <w:tcW w:type="dxa" w:w="3024"/>
          </w:tcPr>
          <w:p>
            <w:r>
              <w:rPr>
                <w:rFonts w:ascii="Times New Roman" w:hAnsi="Times New Roman"/>
                <w:b/>
                <w:sz w:val="20"/>
              </w:rPr>
              <w:t>Summe Bruttoeinnahmen Berichtszeitraum</w:t>
            </w:r>
          </w:p>
        </w:tc>
        <w:tc>
          <w:tcPr>
            <w:tcW w:type="dxa" w:w="3024"/>
          </w:tcPr>
          <w:p>
            <w:r>
              <w:rPr>
                <w:rFonts w:ascii="Times New Roman" w:hAnsi="Times New Roman"/>
                <w:b/>
                <w:sz w:val="20"/>
              </w:rPr>
              <w:t>192.380</w:t>
            </w:r>
          </w:p>
        </w:tc>
        <w:tc>
          <w:tcPr>
            <w:tcW w:type="dxa" w:w="3024"/>
          </w:tcPr>
          <w:p/>
        </w:tc>
      </w:tr>
    </w:tbl>
    <w:p>
      <w:pPr>
        <w:jc w:val="left"/>
      </w:pPr>
      <w:r>
        <w:t>Davon werden die Massekosten (Räumungsverkäufe-Personalkosten August 2013, Versorgungs-, Lager-, Versicherungskosten, Verwalter-Mindest-Vergütung) im laufenden Berichtszeitraum berücksichtigt.</w:t>
      </w:r>
    </w:p>
    <w:p>
      <w:pPr>
        <w:pStyle w:val="Heading3"/>
      </w:pPr>
      <w:r>
        <w:rPr>
          <w:rFonts w:ascii="Times New Roman" w:hAnsi="Times New Roman"/>
        </w:rPr>
        <w:t>5. Massebestand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EUR</w:t>
            </w:r>
          </w:p>
        </w:tc>
      </w:tr>
      <w:tr>
        <w:tc>
          <w:tcPr>
            <w:tcW w:type="dxa" w:w="4536"/>
          </w:tcPr>
          <w:p>
            <w:r>
              <w:rPr>
                <w:rFonts w:ascii="Times New Roman" w:hAnsi="Times New Roman"/>
                <w:sz w:val="20"/>
              </w:rPr>
              <w:t>01.06.2013 Eröffnung (übernommenes Geschäftskonto)</w:t>
            </w:r>
          </w:p>
        </w:tc>
        <w:tc>
          <w:tcPr>
            <w:tcW w:type="dxa" w:w="4536"/>
          </w:tcPr>
          <w:p>
            <w:r>
              <w:rPr>
                <w:rFonts w:ascii="Times New Roman" w:hAnsi="Times New Roman"/>
                <w:sz w:val="20"/>
              </w:rPr>
              <w:t>12.400</w:t>
            </w:r>
          </w:p>
        </w:tc>
      </w:tr>
      <w:tr>
        <w:tc>
          <w:tcPr>
            <w:tcW w:type="dxa" w:w="4536"/>
          </w:tcPr>
          <w:p>
            <w:r>
              <w:rPr>
                <w:rFonts w:ascii="Times New Roman" w:hAnsi="Times New Roman"/>
                <w:sz w:val="20"/>
              </w:rPr>
              <w:t>30.11.2013 (Anderkonto)</w:t>
            </w:r>
          </w:p>
        </w:tc>
        <w:tc>
          <w:tcPr>
            <w:tcW w:type="dxa" w:w="4536"/>
          </w:tcPr>
          <w:p>
            <w:r>
              <w:rPr>
                <w:rFonts w:ascii="Times New Roman" w:hAnsi="Times New Roman"/>
                <w:sz w:val="20"/>
              </w:rPr>
              <w:t>38.700</w:t>
            </w:r>
          </w:p>
        </w:tc>
      </w:tr>
    </w:tbl>
    <w:p>
      <w:pPr>
        <w:pStyle w:val="Heading3"/>
      </w:pPr>
      <w:r>
        <w:rPr>
          <w:rFonts w:ascii="Times New Roman" w:hAnsi="Times New Roman"/>
        </w:rPr>
        <w:t>6. Forderungen — Status Tabelle</w:t>
      </w:r>
    </w:p>
    <w:p>
      <w:pPr>
        <w:jc w:val="left"/>
      </w:pPr>
      <w:r>
        <w:t>Bis zum Anmeldeschluss 15.07.2013 wurden insgesamt 47 Gläubiger-Anmeldungen mit einer Gesamt-Forderung von EUR 587.420 entgegengenommen. Im Prüfungstermin 15.08.2013 wurden hiervon EUR 510.200 festgestellt, EUR 77.220 bestritten. Hauptbestreitungsgründe:</w:t>
      </w:r>
    </w:p>
    <w:p>
      <w:pPr>
        <w:pStyle w:val="ListBullet"/>
      </w:pPr>
      <w:r>
        <w:t>Forderung Fashion Forward KG iHv EUR 42.380: bestritten in Höhe von EUR 18.420 (Zahlungs-Nachweis-Lücke beim Gläubiger), festgestellt EUR 23.960</w:t>
      </w:r>
    </w:p>
    <w:p>
      <w:pPr>
        <w:pStyle w:val="ListBullet"/>
      </w:pPr>
      <w:r>
        <w:t>Forderung Vermieter Holtenauer Straße 23 iHv EUR 14.800 (Hafen-Geschäft, Mietrest April-Mai 2013): bestritten dem Grunde nach (Mietvertrag fristlos gekündigt durch Vermieter; Insolvenzverwalter behauptet wirksame Kündigung erst nach Eröffnung)</w:t>
      </w:r>
    </w:p>
    <w:p>
      <w:pPr>
        <w:pStyle w:val="ListBullet"/>
      </w:pPr>
      <w:r>
        <w:t>Diverse kleinere Lieferanten: bestritten dem Grunde nach (Rückläufer-Reklamationen) iHv EUR 8.420</w:t>
      </w:r>
    </w:p>
    <w:p>
      <w:pPr>
        <w:pStyle w:val="ListBullet"/>
      </w:pPr>
      <w:r>
        <w:t>Sonstige Bestreitungen wegen Höhe iHv EUR 35.620</w:t>
      </w:r>
    </w:p>
    <w:p>
      <w:pPr>
        <w:jc w:val="left"/>
      </w:pPr>
      <w:r>
        <w:t>Eine Streit-Klage des Vermieters Holtenauer Straße 23 (Az. AG Kiel 8 C 412/13) ist anhängig; Klärung Q2 2014.</w:t>
      </w:r>
    </w:p>
    <w:p>
      <w:pPr>
        <w:pStyle w:val="Heading3"/>
      </w:pPr>
      <w:r>
        <w:rPr>
          <w:rFonts w:ascii="Times New Roman" w:hAnsi="Times New Roman"/>
        </w:rPr>
        <w:t>7. Anfechtungen</w:t>
      </w:r>
    </w:p>
    <w:p>
      <w:pPr>
        <w:jc w:val="left"/>
      </w:pPr>
      <w:r>
        <w:t>Folgende Anfechtungs-Ansprüche werden geprüft:</w:t>
      </w:r>
    </w:p>
    <w:p>
      <w:pPr>
        <w:pStyle w:val="Heading3"/>
      </w:pPr>
      <w:r>
        <w:rPr>
          <w:rFonts w:ascii="Times New Roman" w:hAnsi="Times New Roman"/>
        </w:rPr>
        <w:t>7.1 DAK-Gesundheit</w:t>
      </w:r>
    </w:p>
    <w:p>
      <w:pPr>
        <w:jc w:val="left"/>
      </w:pPr>
      <w:r>
        <w:t>Zahlungen an DAK-Gesundheit iHv EUR 9.840 in den letzten drei Monaten vor Eröffnungsantrag (14.01.2013): Beiträge Oktober 2012, November 2012, Dezember 2012 (jeweils mit Zahlung um den Drittletzten Bankarbeitstag).</w:t>
      </w:r>
    </w:p>
    <w:p>
      <w:pPr>
        <w:jc w:val="left"/>
      </w:pPr>
      <w:r>
        <w:t>Anfechtungstatbestand: § 131 InsO (Inkongruente Deckung, wenn die DAK durch Vollstreckungs-Druck zur Beitragszahlung kam — zu prüfen)</w:t>
      </w:r>
    </w:p>
    <w:p>
      <w:pPr>
        <w:jc w:val="left"/>
      </w:pPr>
      <w:r>
        <w:t>Anfechtungs-Schreiben an DAK am 22.10.2013 versandt. Antwort DAK am 18.11.2013: DAK bestreitet Inkongruenz und beruft sich auf § 133 InsO-Schutz (kongruente Erfüllung gesetzlich geschuldeter Beiträge). Streit-Verhandlung läuft.</w:t>
      </w:r>
    </w:p>
    <w:p>
      <w:pPr>
        <w:pStyle w:val="Heading3"/>
      </w:pPr>
      <w:r>
        <w:rPr>
          <w:rFonts w:ascii="Times New Roman" w:hAnsi="Times New Roman"/>
        </w:rPr>
        <w:t>7.2 IKK Nord</w:t>
      </w:r>
    </w:p>
    <w:p>
      <w:pPr>
        <w:jc w:val="left"/>
      </w:pPr>
      <w:r>
        <w:t>Zahlungen iHv EUR 3.960 (Beiträge September, Oktober 2012). Vergleichbare Konstellation. Anfechtungs-Schreiben 22.10.2013. Antwort IKK am 25.11.2013: ablehnend.</w:t>
      </w:r>
    </w:p>
    <w:p>
      <w:pPr>
        <w:jc w:val="left"/>
      </w:pPr>
      <w:r>
        <w:t>Voraussichtlich Klage Q1 2014, sofern Vergleichsverhandlungen scheitern.</w:t>
      </w:r>
    </w:p>
    <w:p>
      <w:pPr>
        <w:pStyle w:val="Heading3"/>
      </w:pPr>
      <w:r>
        <w:rPr>
          <w:rFonts w:ascii="Times New Roman" w:hAnsi="Times New Roman"/>
        </w:rPr>
        <w:t>8. Geschäftsführer-Haftungs-Ansprüche</w:t>
      </w:r>
    </w:p>
    <w:p>
      <w:pPr>
        <w:pStyle w:val="Heading3"/>
      </w:pPr>
      <w:r>
        <w:rPr>
          <w:rFonts w:ascii="Times New Roman" w:hAnsi="Times New Roman"/>
        </w:rPr>
        <w:t>8.1 § 64 GmbHG / § 15b InsO</w:t>
      </w:r>
    </w:p>
    <w:p>
      <w:pPr>
        <w:jc w:val="left"/>
      </w:pPr>
      <w:r>
        <w:t>Es bestehen erhebliche Anhaltspunkte, dass die Geschäftsführer Stefan Berger und (in geringerem Umfang) Katrin Berger nach Eintritt der Zahlungsunfähigkeit (spätestens Anfang Dezember 2012) noch Zahlungen vorgenommen haben, die nicht mit der Sorgfalt eines ordentlichen Geschäftsmanns vereinbar waren.</w:t>
      </w:r>
    </w:p>
    <w:p>
      <w:pPr>
        <w:jc w:val="left"/>
      </w:pPr>
      <w:r>
        <w:t>Konkret habe ich folgende Zahlungen identifiziert (Auszug):</w:t>
      </w:r>
    </w:p>
    <w:p>
      <w:pPr>
        <w:pStyle w:val="ListBullet"/>
      </w:pPr>
      <w:r>
        <w:t>12.12.2012: Zahlung an Lieferanten X-Mode KG iHv EUR 8.420 (kein Eil-Lieferungs-Erfordernis nachweisbar)</w:t>
      </w:r>
    </w:p>
    <w:p>
      <w:pPr>
        <w:pStyle w:val="ListBullet"/>
      </w:pPr>
      <w:r>
        <w:t>19.12.2012: Zahlung an Lieferanten Trendyfashion GmbH iHv EUR 14.200 (Mahn-Druck bestand, aber Lieferung schon erfolgt)</w:t>
      </w:r>
    </w:p>
    <w:p>
      <w:pPr>
        <w:pStyle w:val="ListBullet"/>
      </w:pPr>
      <w:r>
        <w:t>03.01.2013: Privatentnahme Stefan Berger iHv EUR 12.000 zur "Tilgung Privatdarlehen Sparkasse Kiel"</w:t>
      </w:r>
    </w:p>
    <w:p>
      <w:pPr>
        <w:pStyle w:val="ListBullet"/>
      </w:pPr>
      <w:r>
        <w:t>08.01.2013: Geschäftsführer-Gehalt Januar 2013 iHv EUR 9.840 (beide Berger jeweils EUR 4.920)</w:t>
      </w:r>
    </w:p>
    <w:p>
      <w:pPr>
        <w:pStyle w:val="ListBullet"/>
      </w:pPr>
      <w:r>
        <w:t>Diverse Kleinbeträge</w:t>
      </w:r>
    </w:p>
    <w:p>
      <w:pPr>
        <w:jc w:val="left"/>
      </w:pPr>
      <w:r>
        <w:t>Gesamthaftungsumfang voraussichtlich EUR 60.000 bis EUR 80.000.</w:t>
      </w:r>
    </w:p>
    <w:p>
      <w:pPr>
        <w:jc w:val="left"/>
      </w:pPr>
      <w:r>
        <w:t>Eine Haftungsklage gegen Stefan Berger ist in Vorbereitung; Vorab-Aufforderung mit Klage-Drohung am 28.10.2013 versandt. Reaktion Berger: anwaltliche Vertretung durch RA Henning Reuter, Kiel; Vergleichsbereitschaft signalisiert, konkretes Angebot bisher EUR 25.000 in Raten. Verhandlung läuft.</w:t>
      </w:r>
    </w:p>
    <w:p>
      <w:pPr>
        <w:pStyle w:val="Heading3"/>
      </w:pPr>
      <w:r>
        <w:rPr>
          <w:rFonts w:ascii="Times New Roman" w:hAnsi="Times New Roman"/>
        </w:rPr>
        <w:t>8.2 Insolvenz-Verschleppung § 15a InsO</w:t>
      </w:r>
    </w:p>
    <w:p>
      <w:pPr>
        <w:jc w:val="left"/>
      </w:pPr>
      <w:r>
        <w:t>Mitteilung an Staatsanwaltschaft Kiel ist vorbereitet (Datum 12.12.2013 vorgesehen). StA wird über Verdacht der Insolvenz-Verschleppung gegen beide Geschäftsführer informiert werden.</w:t>
      </w:r>
    </w:p>
    <w:p>
      <w:pPr>
        <w:pStyle w:val="Heading3"/>
      </w:pPr>
      <w:r>
        <w:rPr>
          <w:rFonts w:ascii="Times New Roman" w:hAnsi="Times New Roman"/>
        </w:rPr>
        <w:t>9. Verfahrens-Ausblick</w:t>
      </w:r>
    </w:p>
    <w:p>
      <w:pPr>
        <w:pStyle w:val="ListBullet"/>
      </w:pPr>
      <w:r>
        <w:t>Q1/Q2 2014: Verwertung Ladeneinrichtung; Forderungs-Beitreibung; Anfechtungs-Klagen DAK / IKK</w:t>
      </w:r>
    </w:p>
    <w:p>
      <w:pPr>
        <w:pStyle w:val="ListBullet"/>
      </w:pPr>
      <w:r>
        <w:t>2014/15: Haftungsklage Berger</w:t>
      </w:r>
    </w:p>
    <w:p>
      <w:pPr>
        <w:pStyle w:val="ListBullet"/>
      </w:pPr>
      <w:r>
        <w:t>2015 ff.: Sukzessive Verwertung, Forderungs-Inkasso, Schluss-Vorbereitung</w:t>
      </w:r>
    </w:p>
    <w:p>
      <w:pPr>
        <w:pStyle w:val="ListBullet"/>
      </w:pPr>
      <w:r>
        <w:t>Erwartete Verfahrensdauer: 5–8 Jahre (Komplexität der Anfechtungs- und Haftungs-Verfahren)</w:t>
      </w:r>
    </w:p>
    <w:p>
      <w:pPr>
        <w:pStyle w:val="Heading3"/>
      </w:pPr>
      <w:r>
        <w:rPr>
          <w:rFonts w:ascii="Times New Roman" w:hAnsi="Times New Roman"/>
        </w:rPr>
        <w:t>10. Antrag</w:t>
      </w:r>
    </w:p>
    <w:p>
      <w:pPr>
        <w:jc w:val="left"/>
      </w:pPr>
      <w:r>
        <w:t>Es werden keine Anträge gestellt. Der nächste turnusmäßige Bericht wird zum 31.05.2014 vorgelegt.</w:t>
      </w:r>
    </w:p>
    <w:p/>
    <w:p>
      <w:pPr>
        <w:jc w:val="left"/>
      </w:pPr>
      <w:r>
        <w:t>Kiel, den 29.11.2013</w:t>
      </w:r>
    </w:p>
    <w:p>
      <w:pPr>
        <w:jc w:val="left"/>
      </w:pPr>
      <w:r>
        <w:t>_Dr. Jens-Peter Hartmann_</w:t>
      </w:r>
    </w:p>
    <w:p>
      <w:pPr>
        <w:jc w:val="left"/>
      </w:pPr>
      <w:r>
        <w:t>Rechtsanwalt — Insolvenzverwalter</w:t>
      </w:r>
    </w:p>
    <w:p/>
    <w:p>
      <w:pPr>
        <w:jc w:val="left"/>
      </w:pPr>
      <w:r>
        <w:rPr>
          <w:b/>
        </w:rPr>
        <w:t>Anlagen:</w:t>
      </w:r>
    </w:p>
    <w:p>
      <w:pPr>
        <w:pStyle w:val="ListBullet"/>
      </w:pPr>
      <w:r>
        <w:t>B1-1: Verwertungs-Übersicht 30.11.2013</w:t>
      </w:r>
    </w:p>
    <w:p>
      <w:pPr>
        <w:pStyle w:val="ListBullet"/>
      </w:pPr>
      <w:r>
        <w:t>B1-2: Tabelle Stand 30.11.2013 mit festgestellten und bestrittenen Forderungen</w:t>
      </w:r>
    </w:p>
    <w:p>
      <w:pPr>
        <w:pStyle w:val="ListBullet"/>
      </w:pPr>
      <w:r>
        <w:t>B1-3: Anfechtungs-Schreiben DAK / IKK (Kopien)</w:t>
      </w:r>
    </w:p>
    <w:p>
      <w:pPr>
        <w:pStyle w:val="ListBullet"/>
      </w:pPr>
      <w:r>
        <w:t>B1-4: Aufforderungs-Schreiben an Stefan Berger zur Haftung</w:t>
      </w:r>
    </w:p>
    <w:p>
      <w:pPr>
        <w:pStyle w:val="ListBullet"/>
      </w:pPr>
      <w:r>
        <w:t>B1-5: Insolvenz-Geld-Übersicht der BA Schleswig-Holstein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