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Auftrag und Scope</w:t>
      </w:r>
    </w:p>
    <w:p>
      <w:pPr>
        <w:jc w:val="left"/>
      </w:pPr>
      <w:r>
        <w:t>Die Geschäftsführung der Falkenried Medical Systems GmbH beauftragt eine Kanzlei mit der Aufklärung von Bonuszahlungen im Vertrieb. Ein anonymer Hinweis behauptet, Außendienstmitarbeiter hätten Einkaufsleiter von Kliniken über Scheinfortbildungen eingeladen und interne Rabattlisten manipuliert. Der erste Entwurf des Untersuchungsauftrags lautet gefährlich weit: "vollständige Aufklärung aller Compliance-Verstöße seit 2020".</w:t>
      </w:r>
    </w:p>
    <w:p>
      <w:pPr>
        <w:pStyle w:val="Heading2"/>
      </w:pPr>
      <w:r>
        <w:rPr>
          <w:rFonts w:ascii="Times New Roman" w:hAnsi="Times New Roman"/>
        </w:rPr>
        <w:t>Sofortproblem</w:t>
      </w:r>
    </w:p>
    <w:p>
      <w:pPr>
        <w:jc w:val="left"/>
      </w:pPr>
      <w:r>
        <w:t>Der weite Scope erzeugt Material zu Korruption, Arbeitsrecht, Datenschutz, Steuer, Vergabe und Kartellrecht. Ohne Begrenzung entsteht ein Bericht, der später für Staatsanwaltschaft, Zivilgegner und US-Partner fast wie ein geordneter Beweisordner wirkt.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