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Vertriebsbonus: Internal Investigation und Strafverfahrensrisiko</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Eine interne Untersuchung zu Bonuszahlungen kann Compliance schaffen, aber zugleich Beweismaterial für Ermittler und Zivilkläger produzieren.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StPO, OWiG, Verbandssanktionen-Risiken, Arbeitsrecht, Datenschutz, Legal Privilege/Vertraulichkeit, Hinweisgeberschutz.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