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 - Internationaler Handelsfall Nordhafen</w:t>
      </w:r>
    </w:p>
    <w:p>
      <w:pPr>
        <w:pStyle w:val="Heading2"/>
      </w:pPr>
      <w:r>
        <w:rPr>
          <w:rFonts w:ascii="Times New Roman" w:hAnsi="Times New Roman"/>
        </w:rPr>
        <w:t>Kurzlage</w:t>
      </w:r>
    </w:p>
    <w:p>
      <w:pPr>
        <w:jc w:val="left"/>
      </w:pPr>
      <w:r>
        <w:t>CISG-Liefervertrag, Incoterms, Akkreditiv, Sanktionen, Force Majeure und ICC-Schiedsstrategie.</w:t>
      </w:r>
    </w:p>
    <w:p>
      <w:pPr>
        <w:pStyle w:val="Heading2"/>
      </w:pPr>
      <w:r>
        <w:rPr>
          <w:rFonts w:ascii="Times New Roman" w:hAnsi="Times New Roman"/>
        </w:rPr>
        <w:t>Vorschlag</w:t>
      </w:r>
    </w:p>
    <w:p>
      <w:pPr>
        <w:pStyle w:val="ListNumber"/>
      </w:pPr>
      <w:r>
        <w:t xml:space="preserve">Akte anhand des allgemeinen Skills des Plugins </w:t>
      </w:r>
      <w:r>
        <w:t>internationales-handelsrecht-lex-mercatoria</w:t>
      </w:r>
      <w:r>
        <w:t xml:space="preserve"> sortieren.</w:t>
      </w:r>
    </w:p>
    <w:p>
      <w:pPr>
        <w:pStyle w:val="ListNumber"/>
      </w:pPr>
      <w:r>
        <w:t>Danach den passenden Spezialskill laden und einen Quellen-/Risikovermerk erstellen.</w:t>
      </w:r>
    </w:p>
    <w:p>
      <w:pPr>
        <w:pStyle w:val="ListNumber"/>
      </w:pPr>
      <w:r>
        <w:t>Offene Punkte als Rückfragenliste formulieren.</w:t>
      </w:r>
    </w:p>
    <w:p>
      <w:pPr>
        <w:pStyle w:val="ListNumber"/>
      </w:pPr>
      <w:r>
        <w:t>Ergebnis als Memo mit Ampel und Entscheidungsvorschlag ausgeben.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