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01 – Ausschreibungsbekanntmachung TED (Auszug)</w:t>
      </w:r>
    </w:p>
    <w:p>
      <w:pPr>
        <w:jc w:val="left"/>
      </w:pPr>
      <w:r>
        <w:rPr>
          <w:b/>
        </w:rPr>
        <w:t>Aktenzeichen:</w:t>
      </w:r>
      <w:r>
        <w:t xml:space="preserve"> VK 1-32/26</w:t>
      </w:r>
    </w:p>
    <w:p>
      <w:pPr>
        <w:jc w:val="left"/>
      </w:pPr>
      <w:r>
        <w:rPr>
          <w:b/>
        </w:rPr>
        <w:t>Vorhabenbezeichnung:</w:t>
      </w:r>
      <w:r>
        <w:t xml:space="preserve"> LH-SN-Cyber-SOC-NSV-2026</w:t>
      </w:r>
    </w:p>
    <w:p>
      <w:pPr>
        <w:jc w:val="left"/>
      </w:pPr>
      <w:r>
        <w:rPr>
          <w:b/>
        </w:rPr>
        <w:t>Datum:</w:t>
      </w:r>
      <w:r>
        <w:t xml:space="preserve"> 27.02.2026</w:t>
      </w:r>
    </w:p>
    <w:p>
      <w:pPr>
        <w:jc w:val="left"/>
      </w:pPr>
      <w:r>
        <w:rPr>
          <w:b/>
        </w:rPr>
        <w:t>Quelle:</w:t>
      </w:r>
      <w:r>
        <w:t xml:space="preserve"> TED (Tenders Electronic Daily), Supplement zum Amtsblatt der EU</w:t>
      </w:r>
    </w:p>
    <w:p/>
    <w:p>
      <w:pPr>
        <w:pStyle w:val="Heading2"/>
      </w:pPr>
      <w:r>
        <w:rPr>
          <w:rFonts w:ascii="Times New Roman" w:hAnsi="Times New Roman"/>
        </w:rPr>
        <w:t>Bekanntmachung im Supplement zum Amtsblatt der Europäischen Union</w:t>
      </w:r>
    </w:p>
    <w:p>
      <w:pPr>
        <w:jc w:val="left"/>
      </w:pPr>
      <w:r>
        <w:rPr>
          <w:b/>
        </w:rPr>
        <w:t>TED-Referenz:</w:t>
      </w:r>
      <w:r>
        <w:t xml:space="preserve"> 2026/S 042-XXXXXX</w:t>
      </w:r>
    </w:p>
    <w:p>
      <w:pPr>
        <w:jc w:val="left"/>
      </w:pPr>
      <w:r>
        <w:rPr>
          <w:b/>
        </w:rPr>
        <w:t>Auftragsbekanntmachung – Dienstleistungen</w:t>
      </w:r>
    </w:p>
    <w:p>
      <w:pPr>
        <w:pStyle w:val="Heading3"/>
      </w:pPr>
      <w:r>
        <w:rPr>
          <w:rFonts w:ascii="Times New Roman" w:hAnsi="Times New Roman"/>
        </w:rPr>
        <w:t>Abschnitt I: Öffentlicher Auftraggeber</w:t>
      </w:r>
    </w:p>
    <w:p>
      <w:pPr>
        <w:jc w:val="left"/>
      </w:pPr>
      <w:r>
        <w:rPr>
          <w:b/>
        </w:rPr>
        <w:t>I.1) Name und Adressen</w:t>
      </w:r>
    </w:p>
    <w:p>
      <w:pPr>
        <w:jc w:val="left"/>
      </w:pPr>
      <w:r>
        <w:t>Offizielle Bezeichnung: Landeshauptstadt Schwerin</w:t>
      </w:r>
    </w:p>
    <w:p>
      <w:pPr>
        <w:jc w:val="left"/>
      </w:pPr>
      <w:r>
        <w:t>– vertreten durch: Eigenbetrieb Stadtwirtschaft Schwerin (SDS) –</w:t>
      </w:r>
    </w:p>
    <w:p>
      <w:pPr>
        <w:jc w:val="left"/>
      </w:pPr>
      <w:r>
        <w:t>Postanschrift: Am Grünen Tal 18, 19063 Schwerin</w:t>
      </w:r>
    </w:p>
    <w:p>
      <w:pPr>
        <w:jc w:val="left"/>
      </w:pPr>
      <w:r>
        <w:t>Ort: Schwerin</w:t>
      </w:r>
    </w:p>
    <w:p>
      <w:pPr>
        <w:jc w:val="left"/>
      </w:pPr>
      <w:r>
        <w:t>NUTS-Code: DE807 Schwerin</w:t>
      </w:r>
    </w:p>
    <w:p>
      <w:pPr>
        <w:jc w:val="left"/>
      </w:pPr>
      <w:r>
        <w:t>Land: Deutschland</w:t>
      </w:r>
    </w:p>
    <w:p>
      <w:pPr>
        <w:jc w:val="left"/>
      </w:pPr>
      <w:r>
        <w:t>Kontaktstelle(n): Vergabestelle SDS, Frau Yvonne Behnke</w:t>
      </w:r>
    </w:p>
    <w:p>
      <w:pPr>
        <w:jc w:val="left"/>
      </w:pPr>
      <w:r>
        <w:t>E-Mail: vergabe@sds-schwerin.de</w:t>
      </w:r>
    </w:p>
    <w:p>
      <w:pPr>
        <w:jc w:val="left"/>
      </w:pPr>
      <w:r>
        <w:t>Internet: https://www.schwerin.de/vergabe</w:t>
      </w:r>
    </w:p>
    <w:p>
      <w:pPr>
        <w:jc w:val="left"/>
      </w:pPr>
      <w:r>
        <w:rPr>
          <w:b/>
        </w:rPr>
        <w:t>I.2) Gemeinsame Beschaffung</w:t>
      </w:r>
    </w:p>
    <w:p>
      <w:pPr>
        <w:jc w:val="left"/>
      </w:pPr>
      <w:r>
        <w:t>Nicht zutreffend.</w:t>
      </w:r>
    </w:p>
    <w:p>
      <w:pPr>
        <w:jc w:val="left"/>
      </w:pPr>
      <w:r>
        <w:rPr>
          <w:b/>
        </w:rPr>
        <w:t>I.3) Kommunikation</w:t>
      </w:r>
    </w:p>
    <w:p>
      <w:pPr>
        <w:jc w:val="left"/>
      </w:pPr>
      <w:r>
        <w:t>Die Auftragsunterlagen stehen für einen uneingeschränkten und vollständigen direkten Zugang gebührenfrei zur Verfügung unter: https://vergabe.mecklenburg-vorpommern.de/Satellite/notice/CXP4YFFYY39</w:t>
      </w:r>
    </w:p>
    <w:p>
      <w:pPr>
        <w:jc w:val="left"/>
      </w:pPr>
      <w:r>
        <w:rPr>
          <w:b/>
        </w:rPr>
        <w:t>I.4) Art des öffentlichen Auftraggebers</w:t>
      </w:r>
    </w:p>
    <w:p>
      <w:pPr>
        <w:jc w:val="left"/>
      </w:pPr>
      <w:r>
        <w:t>Regional- oder Kommunalbehörde (kreisfreie Stadt)</w:t>
      </w:r>
    </w:p>
    <w:p>
      <w:pPr>
        <w:jc w:val="left"/>
      </w:pPr>
      <w:r>
        <w:rPr>
          <w:b/>
        </w:rPr>
        <w:t>I.5) Haupttätigkeit(en)</w:t>
      </w:r>
    </w:p>
    <w:p>
      <w:pPr>
        <w:jc w:val="left"/>
      </w:pPr>
      <w:r>
        <w:t>Allgemeine öffentliche Verwaltung; Verkehrsdienstleistungen (ÖPNV)</w:t>
      </w:r>
    </w:p>
    <w:p/>
    <w:p>
      <w:pPr>
        <w:pStyle w:val="Heading3"/>
      </w:pPr>
      <w:r>
        <w:rPr>
          <w:rFonts w:ascii="Times New Roman" w:hAnsi="Times New Roman"/>
        </w:rPr>
        <w:t>Abschnitt II: Gegenstand</w:t>
      </w:r>
    </w:p>
    <w:p>
      <w:pPr>
        <w:jc w:val="left"/>
      </w:pPr>
      <w:r>
        <w:rPr>
          <w:b/>
        </w:rPr>
        <w:t>II.1) Umfang der Beschaffung</w:t>
      </w:r>
    </w:p>
    <w:p>
      <w:pPr>
        <w:jc w:val="left"/>
      </w:pPr>
      <w:r>
        <w:rPr>
          <w:b/>
        </w:rPr>
        <w:t>II.1.1) Bezeichnung des Auftrags:</w:t>
      </w:r>
    </w:p>
    <w:p>
      <w:pPr>
        <w:jc w:val="left"/>
      </w:pPr>
      <w:r>
        <w:t>Cybersecurity-Operations-Center (SOC) als Managed Service und BSI-IT-Sicherheitsbeauftragten-Beratung für die Nahverkehr Schwerin GmbH</w:t>
      </w:r>
    </w:p>
    <w:p>
      <w:pPr>
        <w:jc w:val="left"/>
      </w:pPr>
      <w:r>
        <w:rPr>
          <w:b/>
        </w:rPr>
        <w:t>Referenznummer der Bekanntmachung:</w:t>
      </w:r>
      <w:r>
        <w:t xml:space="preserve"> LH-SN-Cyber-SOC-NSV-2026</w:t>
      </w:r>
    </w:p>
    <w:p>
      <w:pPr>
        <w:jc w:val="left"/>
      </w:pPr>
      <w:r>
        <w:rPr>
          <w:b/>
        </w:rPr>
        <w:t>II.1.2) CPV-Code Hauptteil:</w:t>
      </w:r>
    </w:p>
    <w:p>
      <w:pPr>
        <w:jc w:val="left"/>
      </w:pPr>
      <w:r>
        <w:t>72220000-3 – Systemberatung und technische Beratung</w:t>
      </w:r>
    </w:p>
    <w:p>
      <w:pPr>
        <w:jc w:val="left"/>
      </w:pPr>
      <w:r>
        <w:t>72315200-0 – Informationssysteme – Verwaltungsdienste</w:t>
      </w:r>
    </w:p>
    <w:p>
      <w:pPr>
        <w:jc w:val="left"/>
      </w:pPr>
      <w:r>
        <w:t>72317000-0 – Datenspeicherungsdienste</w:t>
      </w:r>
    </w:p>
    <w:p>
      <w:pPr>
        <w:jc w:val="left"/>
      </w:pPr>
      <w:r>
        <w:rPr>
          <w:b/>
        </w:rPr>
        <w:t>II.1.3) Art des Auftrags:</w:t>
      </w:r>
      <w:r>
        <w:t xml:space="preserve"> Dienstleistungen</w:t>
      </w:r>
    </w:p>
    <w:p>
      <w:pPr>
        <w:jc w:val="left"/>
      </w:pPr>
      <w:r>
        <w:rPr>
          <w:b/>
        </w:rPr>
        <w:t>II.1.4) Kurze Beschreibung:</w:t>
      </w:r>
    </w:p>
    <w:p>
      <w:pPr>
        <w:jc w:val="left"/>
      </w:pPr>
      <w:r>
        <w:t>Gegenstand ist die Beschaffung eines vollständig als Managed Service betriebenen Cybersecurity-Operations-Centers (SOC) einschließlich 24/7-SIEM-Betrieb, Threat Intelligence, Incident Response sowie einer BSI-IT-Sicherheitsbeauftragten-Beratung für den KRITIS-Betreiber Nahverkehr Schwerin GmbH (Sektor Verkehr). Der Auftragnehmer muss die Anforderungen des BSI-Gesetzes (BSIG) in der Fassung des IT-Sicherheitsgesetzes 2.0, einschließlich der KRITIS-Verordnung Verkehr, sowie die NIS2-Umsetzungsanforderungen erfüllen.</w:t>
      </w:r>
    </w:p>
    <w:p>
      <w:pPr>
        <w:jc w:val="left"/>
      </w:pPr>
      <w:r>
        <w:rPr>
          <w:b/>
        </w:rPr>
        <w:t>II.1.5) Geschätzter Gesamtwert:</w:t>
      </w:r>
    </w:p>
    <w:p>
      <w:pPr>
        <w:jc w:val="left"/>
      </w:pPr>
      <w:r>
        <w:t>Wert ohne MwSt.: 2.800.000,00 EUR</w:t>
      </w:r>
    </w:p>
    <w:p>
      <w:pPr>
        <w:jc w:val="left"/>
      </w:pPr>
      <w:r>
        <w:rPr>
          <w:b/>
        </w:rPr>
        <w:t>II.1.6) Angaben zu den Losen:</w:t>
      </w:r>
    </w:p>
    <w:p>
      <w:pPr>
        <w:jc w:val="left"/>
      </w:pPr>
      <w:r>
        <w:t>Aufteilung in Lose: Nein (ein Gesamtlos)</w:t>
      </w:r>
    </w:p>
    <w:p/>
    <w:p>
      <w:pPr>
        <w:jc w:val="left"/>
      </w:pPr>
      <w:r>
        <w:rPr>
          <w:b/>
        </w:rPr>
        <w:t>II.2) Beschreibung</w:t>
      </w:r>
    </w:p>
    <w:p>
      <w:pPr>
        <w:jc w:val="left"/>
      </w:pPr>
      <w:r>
        <w:rPr>
          <w:b/>
        </w:rPr>
        <w:t>II.2.3) Erfüllungsort:</w:t>
      </w:r>
    </w:p>
    <w:p>
      <w:pPr>
        <w:jc w:val="left"/>
      </w:pPr>
      <w:r>
        <w:t>NUTS-Code: DE807</w:t>
      </w:r>
    </w:p>
    <w:p>
      <w:pPr>
        <w:jc w:val="left"/>
      </w:pPr>
      <w:r>
        <w:t>Hauptort der Ausführung: Schwerin, Betriebsstätten der Nahverkehr Schwerin GmbH, Remote-Betrieb SOC zulässig</w:t>
      </w:r>
    </w:p>
    <w:p>
      <w:pPr>
        <w:jc w:val="left"/>
      </w:pPr>
      <w:r>
        <w:rPr>
          <w:b/>
        </w:rPr>
        <w:t>II.2.4) Beschreibung der Beschaffung:</w:t>
      </w:r>
    </w:p>
    <w:p>
      <w:pPr>
        <w:jc w:val="left"/>
      </w:pPr>
      <w:r>
        <w:t>Los 1 – Cybersecurity-Operations-Center (SOC) als Managed Service:</w:t>
      </w:r>
    </w:p>
    <w:p>
      <w:pPr>
        <w:pStyle w:val="ListBullet"/>
      </w:pPr>
      <w:r>
        <w:t>Betrieb eines vollständigen SOC 24/7/365 mit deutschen Betriebsstandorten</w:t>
      </w:r>
    </w:p>
    <w:p>
      <w:pPr>
        <w:pStyle w:val="ListBullet"/>
      </w:pPr>
      <w:r>
        <w:t>SIEM-Betrieb (Security Information and Event Management) mit BSI-konformen Mindestanforderungen gem. BSI-Grundschutz-Kompendium (aktuelle Edition)</w:t>
      </w:r>
    </w:p>
    <w:p>
      <w:pPr>
        <w:pStyle w:val="ListBullet"/>
      </w:pPr>
      <w:r>
        <w:t>Threat Intelligence und Vulnerability Management für OT- und IT-Infrastruktur ÖPNV</w:t>
      </w:r>
    </w:p>
    <w:p>
      <w:pPr>
        <w:pStyle w:val="ListBullet"/>
      </w:pPr>
      <w:r>
        <w:t>Incident Response und forensische Erstmaßnahmen nach BSIG § 8b</w:t>
      </w:r>
    </w:p>
    <w:p>
      <w:pPr>
        <w:pStyle w:val="ListBullet"/>
      </w:pPr>
      <w:r>
        <w:t>Einhaltung der Datenschutzvorgaben DSGVO / BDSG, Verarbeitung ausschließlich in der EU</w:t>
      </w:r>
    </w:p>
    <w:p>
      <w:pPr>
        <w:pStyle w:val="ListBullet"/>
      </w:pPr>
      <w:r>
        <w:t>Mindestanforderung: ISO/IEC 27001-Zertifizierung des SOC-Betriebs</w:t>
      </w:r>
    </w:p>
    <w:p>
      <w:pPr>
        <w:jc w:val="left"/>
      </w:pPr>
      <w:r>
        <w:t>Los 2 – BSI-IT-Sicherheitsbeauftragten-Beratung:</w:t>
      </w:r>
    </w:p>
    <w:p>
      <w:pPr>
        <w:pStyle w:val="ListBullet"/>
      </w:pPr>
      <w:r>
        <w:t>Bereitstellung eines qualifizierten IT-Sicherheitsbeauftragten (ISB) gem. § 8a BSIG</w:t>
      </w:r>
    </w:p>
    <w:p>
      <w:pPr>
        <w:pStyle w:val="ListBullet"/>
      </w:pPr>
      <w:r>
        <w:t>Begleitung von BSI-Audits und KRITIS-Nachweispflichten</w:t>
      </w:r>
    </w:p>
    <w:p>
      <w:pPr>
        <w:pStyle w:val="ListBullet"/>
      </w:pPr>
      <w:r>
        <w:t>Erstellung und Pflege von ISMS-Dokumentation nach ISO 27001 / BSI-IT-Grundschutz</w:t>
      </w:r>
    </w:p>
    <w:p>
      <w:pPr>
        <w:jc w:val="left"/>
      </w:pPr>
      <w:r>
        <w:rPr>
          <w:b/>
        </w:rPr>
        <w:t>II.2.5) Zuschlagskriterien:</w:t>
      </w:r>
    </w:p>
    <w:p>
      <w:pPr>
        <w:jc w:val="left"/>
      </w:pPr>
      <w:r>
        <w:t>Preis-Leistungs-Verhältnis</w:t>
      </w:r>
    </w:p>
    <w:p>
      <w:pPr>
        <w:pStyle w:val="ListBullet"/>
      </w:pPr>
      <w:r>
        <w:t>Preis: 40 %</w:t>
      </w:r>
    </w:p>
    <w:p>
      <w:pPr>
        <w:pStyle w:val="ListBullet"/>
      </w:pPr>
      <w:r>
        <w:t>Qualität (SOC-Konzept, Reaktionszeiten, Threat-Intelligence-Tiefe): 35 %</w:t>
      </w:r>
    </w:p>
    <w:p>
      <w:pPr>
        <w:pStyle w:val="ListBullet"/>
      </w:pPr>
      <w:r>
        <w:t>Referenzen und Erfahrung KRITIS/IT-Sicherheit: 15 %</w:t>
      </w:r>
    </w:p>
    <w:p>
      <w:pPr>
        <w:pStyle w:val="ListBullet"/>
      </w:pPr>
      <w:r>
        <w:t>Datenschutz und Informationssicherheitskonzept: 10 %</w:t>
      </w:r>
    </w:p>
    <w:p>
      <w:pPr>
        <w:jc w:val="left"/>
      </w:pPr>
      <w:r>
        <w:rPr>
          <w:b/>
        </w:rPr>
        <w:t>II.2.7) Laufzeit des Vertrags:</w:t>
      </w:r>
    </w:p>
    <w:p>
      <w:pPr>
        <w:jc w:val="left"/>
      </w:pPr>
      <w:r>
        <w:t>Beginn: 01.10.2026</w:t>
      </w:r>
    </w:p>
    <w:p>
      <w:pPr>
        <w:jc w:val="left"/>
      </w:pPr>
      <w:r>
        <w:t>Ende: 30.09.2030</w:t>
      </w:r>
    </w:p>
    <w:p>
      <w:pPr>
        <w:jc w:val="left"/>
      </w:pPr>
      <w:r>
        <w:t>Verlängerung: 2 × 12 Monate (Option)</w:t>
      </w:r>
    </w:p>
    <w:p>
      <w:pPr>
        <w:jc w:val="left"/>
      </w:pPr>
      <w:r>
        <w:rPr>
          <w:b/>
        </w:rPr>
        <w:t>II.2.10) Angaben über Varianten/Alternativangebote:</w:t>
      </w:r>
    </w:p>
    <w:p>
      <w:pPr>
        <w:jc w:val="left"/>
      </w:pPr>
      <w:r>
        <w:t>Nicht zulässig.</w:t>
      </w:r>
    </w:p>
    <w:p/>
    <w:p>
      <w:pPr>
        <w:pStyle w:val="Heading3"/>
      </w:pPr>
      <w:r>
        <w:rPr>
          <w:rFonts w:ascii="Times New Roman" w:hAnsi="Times New Roman"/>
        </w:rPr>
        <w:t>Abschnitt III: Rechtliche, wirtschaftliche, finanzielle und technische Angaben</w:t>
      </w:r>
    </w:p>
    <w:p>
      <w:pPr>
        <w:jc w:val="left"/>
      </w:pPr>
      <w:r>
        <w:rPr>
          <w:b/>
        </w:rPr>
        <w:t>III.1) Teilnahmebedingungen</w:t>
      </w:r>
    </w:p>
    <w:p>
      <w:pPr>
        <w:jc w:val="left"/>
      </w:pPr>
      <w:r>
        <w:rPr>
          <w:b/>
        </w:rPr>
        <w:t>III.1.1) Befähigung zur Berufsausübung:</w:t>
      </w:r>
    </w:p>
    <w:p>
      <w:pPr>
        <w:pStyle w:val="ListBullet"/>
      </w:pPr>
      <w:r>
        <w:t>Handelsregistereintrag oder gleichwertiger Nachweis</w:t>
      </w:r>
    </w:p>
    <w:p>
      <w:pPr>
        <w:pStyle w:val="ListBullet"/>
      </w:pPr>
      <w:r>
        <w:t>Nachweis BSI-Grundschutz-Praktiker oder ISO 27001 Lead Auditor für Schlüsselpersonal</w:t>
      </w:r>
    </w:p>
    <w:p>
      <w:pPr>
        <w:jc w:val="left"/>
      </w:pPr>
      <w:r>
        <w:rPr>
          <w:b/>
        </w:rPr>
        <w:t>III.1.2) Wirtschaftliche und finanzielle Leistungsfähigkeit:</w:t>
      </w:r>
    </w:p>
    <w:p>
      <w:pPr>
        <w:pStyle w:val="ListBullet"/>
      </w:pPr>
      <w:r>
        <w:t>Jahresumsatz in der relevanten Dienstleistungssparte (IT-Sicherheit / Managed Services) der letzten drei Geschäftsjahre: mind. 5 Mio. EUR p.a.</w:t>
      </w:r>
    </w:p>
    <w:p>
      <w:pPr>
        <w:pStyle w:val="ListBullet"/>
      </w:pPr>
      <w:r>
        <w:t>Berufshaftpflichtversicherung: mind. 5 Mio. EUR pro Schadensfall</w:t>
      </w:r>
    </w:p>
    <w:p>
      <w:pPr>
        <w:jc w:val="left"/>
      </w:pPr>
      <w:r>
        <w:rPr>
          <w:b/>
        </w:rPr>
        <w:t>III.1.3) Technische und berufliche Leistungsfähigkeit:</w:t>
      </w:r>
    </w:p>
    <w:p>
      <w:pPr>
        <w:pStyle w:val="ListBullet"/>
      </w:pPr>
      <w:r>
        <w:t>Mindestens drei vergleichbare Referenzaufträge aus den letzten fünf Jahren (Laufzeit mind. 12 Monate, Auftragswert mind. 300.000 EUR netto)</w:t>
      </w:r>
    </w:p>
    <w:p>
      <w:pPr>
        <w:pStyle w:val="ListBullet"/>
      </w:pPr>
      <w:r>
        <w:t>Vergleichbarkeit: SOC-Managed-Service oder IT-Sicherheitsberatung für öffentliche Auftraggeber oder KRITIS-Betreiber</w:t>
      </w:r>
    </w:p>
    <w:p>
      <w:pPr>
        <w:pStyle w:val="ListBullet"/>
      </w:pPr>
      <w:r>
        <w:t>Zertifizierung des SOC-Betriebs: ISO/IEC 27001 (aktuelles Zertifikat beizufügen)</w:t>
      </w:r>
    </w:p>
    <w:p>
      <w:pPr>
        <w:ind w:left="567"/>
      </w:pPr>
      <w:r>
        <w:rPr>
          <w:b/>
          <w:i/>
        </w:rPr>
        <w:t>Hinweis zur Vergleichbarkeit:</w:t>
      </w:r>
      <w:r>
        <w:rPr>
          <w:i/>
        </w:rPr>
        <w:t xml:space="preserve"> Die Bekanntmachung spricht von „KRITIS-Betreiber oder öffentliche Auftraggeber". Eine ausdrückliche Beschränkung auf ÖPNV-spezifische Referenzen findet sich in der Bekanntmachung nicht. Die Vergabeunterlagen (Teil B, Ziffer 4.3) konkretisieren: „bevorzugt im Sektor Verkehr oder Energie".</w:t>
      </w:r>
    </w:p>
    <w:p/>
    <w:p>
      <w:pPr>
        <w:pStyle w:val="Heading3"/>
      </w:pPr>
      <w:r>
        <w:rPr>
          <w:rFonts w:ascii="Times New Roman" w:hAnsi="Times New Roman"/>
        </w:rPr>
        <w:t>Abschnitt IV: Verfahren</w:t>
      </w:r>
    </w:p>
    <w:p>
      <w:pPr>
        <w:jc w:val="left"/>
      </w:pPr>
      <w:r>
        <w:rPr>
          <w:b/>
        </w:rPr>
        <w:t>IV.1.1) Verfahrensart:</w:t>
      </w:r>
      <w:r>
        <w:t xml:space="preserve"> Offenes Verfahren</w:t>
      </w:r>
    </w:p>
    <w:p>
      <w:pPr>
        <w:jc w:val="left"/>
      </w:pPr>
      <w:r>
        <w:rPr>
          <w:b/>
        </w:rPr>
        <w:t>IV.2.2) Schlusstermin für den Eingang der Angebote:</w:t>
      </w:r>
    </w:p>
    <w:p>
      <w:pPr>
        <w:jc w:val="left"/>
      </w:pPr>
      <w:r>
        <w:t>31.03.2026, 12:00 Uhr MEZ</w:t>
      </w:r>
    </w:p>
    <w:p>
      <w:pPr>
        <w:jc w:val="left"/>
      </w:pPr>
      <w:r>
        <w:rPr>
          <w:b/>
        </w:rPr>
        <w:t>IV.2.4) Sprache(n), in der (denen) Angebote eingereicht werden können:</w:t>
      </w:r>
      <w:r>
        <w:t xml:space="preserve"> Deutsch</w:t>
      </w:r>
    </w:p>
    <w:p>
      <w:pPr>
        <w:jc w:val="left"/>
      </w:pPr>
      <w:r>
        <w:rPr>
          <w:b/>
        </w:rPr>
        <w:t>IV.2.6) Bindefrist des Angebots:</w:t>
      </w:r>
      <w:r>
        <w:t xml:space="preserve"> 60 Tage (ab Schlusstermin)</w:t>
      </w:r>
    </w:p>
    <w:p>
      <w:pPr>
        <w:jc w:val="left"/>
      </w:pPr>
      <w:r>
        <w:rPr>
          <w:b/>
        </w:rPr>
        <w:t>IV.2.7) Bedingungen für die Öffnung der Angebote:</w:t>
      </w:r>
    </w:p>
    <w:p>
      <w:pPr>
        <w:jc w:val="left"/>
      </w:pPr>
      <w:r>
        <w:t>01.04.2026, 10:00 Uhr – Vergabestelle SDS, Am Grünen Tal 18, Schwerin</w:t>
      </w:r>
    </w:p>
    <w:p/>
    <w:p>
      <w:pPr>
        <w:pStyle w:val="Heading3"/>
      </w:pPr>
      <w:r>
        <w:rPr>
          <w:rFonts w:ascii="Times New Roman" w:hAnsi="Times New Roman"/>
        </w:rPr>
        <w:t>Abschnitt VI: Weitere Angaben</w:t>
      </w:r>
    </w:p>
    <w:p>
      <w:pPr>
        <w:jc w:val="left"/>
      </w:pPr>
      <w:r>
        <w:rPr>
          <w:b/>
        </w:rPr>
        <w:t>VI.4) Nachprüfungsverfahren</w:t>
      </w:r>
    </w:p>
    <w:p>
      <w:pPr>
        <w:jc w:val="left"/>
      </w:pPr>
      <w:r>
        <w:rPr>
          <w:b/>
        </w:rPr>
        <w:t>VI.4.1) Zuständige Stelle für Nachprüfungsverfahren:</w:t>
      </w:r>
    </w:p>
    <w:p>
      <w:pPr>
        <w:jc w:val="left"/>
      </w:pPr>
      <w:r>
        <w:t>Vergabekammer des Bundes</w:t>
      </w:r>
    </w:p>
    <w:p>
      <w:pPr>
        <w:jc w:val="left"/>
      </w:pPr>
      <w:r>
        <w:t>Villemombler Straße 76, 53123 Bonn</w:t>
      </w:r>
    </w:p>
    <w:p>
      <w:pPr>
        <w:jc w:val="left"/>
      </w:pPr>
      <w:r>
        <w:t>Tel.: +49 228 9499-0</w:t>
      </w:r>
    </w:p>
    <w:p>
      <w:pPr>
        <w:jc w:val="left"/>
      </w:pPr>
      <w:r>
        <w:t>E-Mail: vk@bundeskartellamt.de</w:t>
      </w:r>
    </w:p>
    <w:p>
      <w:pPr>
        <w:ind w:left="567"/>
      </w:pPr>
      <w:r>
        <w:rPr>
          <w:b/>
          <w:i/>
        </w:rPr>
        <w:t>Anmerkung:</w:t>
      </w:r>
      <w:r>
        <w:rPr>
          <w:i/>
        </w:rPr>
        <w:t xml:space="preserve"> Die Vergabestelle hat bei Auftragsbekanntmachung die VK Bund als zuständige Vergabekammer benannt, da der Beschaffungsgegenstand (SOC für KRITIS-Betreiber) den Regelungsbereich des § 55 BSIG i.V.m. § 162 GWB berührt. Jedenfalls besteht nach § 156 GWB wahlweise Zuständigkeit der VK des Landes Mecklenburg-Vorpommern beim Ministerium für Wirtschaft, Infrastruktur, Tourismus und Arbeit Mecklenburg-Vorpommern.</w:t>
      </w:r>
    </w:p>
    <w:p>
      <w:pPr>
        <w:jc w:val="left"/>
      </w:pPr>
      <w:r>
        <w:rPr>
          <w:b/>
        </w:rPr>
        <w:t>VI.4.4) Stelle, bei der Auskünfte über die Einlegung von Rechtsbehelfen erhältlich sind:</w:t>
      </w:r>
    </w:p>
    <w:p>
      <w:pPr>
        <w:jc w:val="left"/>
      </w:pPr>
      <w:r>
        <w:t>Vergabekammer des Bundes (s.o.)</w:t>
      </w:r>
    </w:p>
    <w:p>
      <w:pPr>
        <w:jc w:val="left"/>
      </w:pPr>
      <w:r>
        <w:rPr>
          <w:b/>
        </w:rPr>
        <w:t>VI.5) Tag der Absendung dieser Bekanntmachung:</w:t>
      </w:r>
      <w:r>
        <w:t xml:space="preserve"> 25.02.2026</w:t>
      </w:r>
    </w:p>
    <w:p/>
    <w:p>
      <w:pPr>
        <w:jc w:val="left"/>
      </w:pPr>
      <w:r>
        <w:rPr>
          <w:i/>
        </w:rPr>
        <w:t>Quelle laut Vergabeakte: TED 2026/S 042-188441, Supplement zum Amtsblatt der EU. Bezugsdokument: Vollständige Ausschreibungsunterlagen unter https://vergabe.mecklenburg-vorpommern.de.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